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4495" w14:textId="006BD7BA" w:rsidR="00CA5727" w:rsidRDefault="008033B7" w:rsidP="00CA5727">
      <w:pPr>
        <w:jc w:val="both"/>
        <w:rPr>
          <w:rFonts w:ascii="Arial Narrow" w:hAnsi="Arial Narrow" w:cs="Arial"/>
          <w:b/>
          <w:sz w:val="24"/>
          <w:szCs w:val="24"/>
        </w:rPr>
      </w:pPr>
      <w:r w:rsidRPr="009C68EB">
        <w:rPr>
          <w:rFonts w:ascii="Arial Narrow" w:hAnsi="Arial Narrow"/>
          <w:noProof/>
          <w:sz w:val="24"/>
          <w:szCs w:val="24"/>
          <w:vertAlign w:val="subscript"/>
          <w:lang w:val="en-US"/>
        </w:rPr>
        <w:drawing>
          <wp:inline distT="0" distB="0" distL="0" distR="0" wp14:anchorId="1C0099A2" wp14:editId="5E12A701">
            <wp:extent cx="32575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780" cy="1309807"/>
                    </a:xfrm>
                    <a:prstGeom prst="rect">
                      <a:avLst/>
                    </a:prstGeom>
                    <a:noFill/>
                  </pic:spPr>
                </pic:pic>
              </a:graphicData>
            </a:graphic>
          </wp:inline>
        </w:drawing>
      </w:r>
    </w:p>
    <w:p w14:paraId="5727D502" w14:textId="4866E2A4" w:rsidR="00A75303" w:rsidRPr="00A75303" w:rsidRDefault="00A75303" w:rsidP="00A75303">
      <w:pPr>
        <w:jc w:val="right"/>
        <w:rPr>
          <w:rFonts w:ascii="Arial Narrow" w:hAnsi="Arial Narrow" w:cs="Arial"/>
          <w:b/>
          <w:sz w:val="24"/>
          <w:szCs w:val="24"/>
        </w:rPr>
      </w:pPr>
      <w:r>
        <w:rPr>
          <w:rFonts w:ascii="Arial Narrow" w:hAnsi="Arial Narrow" w:cs="Arial"/>
          <w:b/>
          <w:sz w:val="24"/>
          <w:szCs w:val="24"/>
        </w:rPr>
        <w:t>ANNEX G</w:t>
      </w:r>
    </w:p>
    <w:p w14:paraId="76FEE88F" w14:textId="77777777" w:rsidR="00CA5727" w:rsidRPr="009C68EB" w:rsidRDefault="00CA5727" w:rsidP="007D7508">
      <w:pPr>
        <w:jc w:val="center"/>
        <w:rPr>
          <w:rFonts w:ascii="Arial Narrow" w:hAnsi="Arial Narrow" w:cs="Arial"/>
          <w:b/>
          <w:sz w:val="24"/>
          <w:szCs w:val="24"/>
        </w:rPr>
      </w:pPr>
      <w:r w:rsidRPr="009C68EB">
        <w:rPr>
          <w:rFonts w:ascii="Arial Narrow" w:hAnsi="Arial Narrow" w:cs="Arial"/>
          <w:b/>
          <w:sz w:val="24"/>
          <w:szCs w:val="24"/>
        </w:rPr>
        <w:t>Private Bag X447, Pretoria, 0001, Environment House, 473 Steve Biko Road, Pretoria, 0002</w:t>
      </w:r>
    </w:p>
    <w:p w14:paraId="2C2CAD63" w14:textId="1B582E18" w:rsidR="00CA5727" w:rsidRPr="009C68EB" w:rsidRDefault="00CA5727" w:rsidP="007D7508">
      <w:pPr>
        <w:jc w:val="center"/>
        <w:rPr>
          <w:rFonts w:ascii="Arial Narrow" w:hAnsi="Arial Narrow" w:cs="Arial"/>
          <w:b/>
          <w:sz w:val="24"/>
          <w:szCs w:val="24"/>
        </w:rPr>
      </w:pPr>
      <w:r w:rsidRPr="009C68EB">
        <w:rPr>
          <w:rFonts w:ascii="Arial Narrow" w:hAnsi="Arial Narrow" w:cs="Arial"/>
          <w:b/>
          <w:sz w:val="24"/>
          <w:szCs w:val="24"/>
        </w:rPr>
        <w:t>Email</w:t>
      </w:r>
      <w:r w:rsidR="002854D5">
        <w:rPr>
          <w:rFonts w:ascii="Arial Narrow" w:hAnsi="Arial Narrow" w:cs="Arial"/>
          <w:b/>
          <w:sz w:val="24"/>
          <w:szCs w:val="24"/>
        </w:rPr>
        <w:t>:</w:t>
      </w:r>
      <w:r w:rsidR="002854D5" w:rsidRPr="002854D5">
        <w:t xml:space="preserve"> </w:t>
      </w:r>
      <w:r w:rsidR="002854D5" w:rsidRPr="002854D5">
        <w:rPr>
          <w:rFonts w:ascii="Arial Narrow" w:hAnsi="Arial Narrow" w:cs="Arial"/>
          <w:b/>
          <w:sz w:val="24"/>
          <w:szCs w:val="24"/>
        </w:rPr>
        <w:t>appeals@dffe.gov.za</w:t>
      </w:r>
    </w:p>
    <w:p w14:paraId="4904771F" w14:textId="77777777" w:rsidR="00CA5727" w:rsidRPr="009C68EB" w:rsidRDefault="00BE2697" w:rsidP="00CA5727">
      <w:pPr>
        <w:jc w:val="both"/>
        <w:rPr>
          <w:rFonts w:ascii="Arial Narrow" w:hAnsi="Arial Narrow" w:cs="Arial"/>
          <w:b/>
          <w:sz w:val="24"/>
          <w:szCs w:val="24"/>
        </w:rPr>
      </w:pPr>
      <w:r w:rsidRPr="009C68EB">
        <w:rPr>
          <w:rFonts w:ascii="Arial Narrow" w:hAnsi="Arial Narrow" w:cs="Arial"/>
          <w:b/>
          <w:sz w:val="24"/>
          <w:szCs w:val="24"/>
        </w:rPr>
        <w:t>APPEAL</w:t>
      </w:r>
      <w:r w:rsidR="00CA5727" w:rsidRPr="009C68EB">
        <w:rPr>
          <w:rFonts w:ascii="Arial Narrow" w:hAnsi="Arial Narrow" w:cs="Arial"/>
          <w:b/>
          <w:sz w:val="24"/>
          <w:szCs w:val="24"/>
        </w:rPr>
        <w:t xml:space="preserve"> RESPONSE REPORT</w:t>
      </w:r>
    </w:p>
    <w:p w14:paraId="4B5AB707" w14:textId="77777777" w:rsidR="00CA5727" w:rsidRPr="009C68EB" w:rsidRDefault="00CA5727" w:rsidP="00CA5727">
      <w:pPr>
        <w:jc w:val="both"/>
        <w:rPr>
          <w:rFonts w:ascii="Arial Narrow" w:hAnsi="Arial Narrow" w:cs="Arial"/>
          <w:b/>
          <w:sz w:val="24"/>
          <w:szCs w:val="24"/>
        </w:rPr>
      </w:pPr>
    </w:p>
    <w:p w14:paraId="722C6E6B" w14:textId="445D0562" w:rsidR="00CA5727" w:rsidRPr="00F6181C" w:rsidRDefault="00CA5727" w:rsidP="00F6181C">
      <w:pPr>
        <w:pStyle w:val="Default"/>
        <w:rPr>
          <w:rFonts w:ascii="Arial Narrow" w:hAnsi="Arial Narrow"/>
        </w:rPr>
      </w:pPr>
      <w:r w:rsidRPr="009C68EB">
        <w:rPr>
          <w:rFonts w:ascii="Arial Narrow" w:hAnsi="Arial Narrow"/>
          <w:b/>
        </w:rPr>
        <w:t>PROJECT NAME/TITLE:</w:t>
      </w:r>
      <w:r w:rsidR="00A061CC" w:rsidRPr="009C68EB">
        <w:rPr>
          <w:rFonts w:ascii="Arial Narrow" w:hAnsi="Arial Narrow"/>
        </w:rPr>
        <w:t xml:space="preserve"> </w:t>
      </w:r>
      <w:r w:rsidR="00F6181C" w:rsidRPr="00F6181C">
        <w:rPr>
          <w:rFonts w:ascii="Arial Narrow" w:hAnsi="Arial Narrow"/>
          <w:lang w:val="en-ZA"/>
        </w:rPr>
        <w:t xml:space="preserve">PROPOSED EXPLORATION </w:t>
      </w:r>
      <w:r w:rsidR="009B7B9E">
        <w:rPr>
          <w:rFonts w:ascii="Arial Narrow" w:hAnsi="Arial Narrow"/>
          <w:lang w:val="en-ZA"/>
        </w:rPr>
        <w:t xml:space="preserve">ACTIVITIES IN OFFSHORE DEEP WESTERN ORANGE BASIN, </w:t>
      </w:r>
      <w:r w:rsidR="00F6181C" w:rsidRPr="00F6181C">
        <w:rPr>
          <w:rFonts w:ascii="Arial Narrow" w:hAnsi="Arial Narrow"/>
          <w:lang w:val="en-ZA"/>
        </w:rPr>
        <w:t>WEST COAST, SOUTH AFRICA</w:t>
      </w:r>
    </w:p>
    <w:p w14:paraId="2D94E7C6" w14:textId="77777777" w:rsidR="00CA5727" w:rsidRPr="009C68EB" w:rsidRDefault="00CA5727" w:rsidP="00CA5727">
      <w:pPr>
        <w:jc w:val="both"/>
        <w:rPr>
          <w:rFonts w:ascii="Arial Narrow" w:hAnsi="Arial Narrow" w:cs="Arial"/>
          <w:b/>
          <w:sz w:val="24"/>
          <w:szCs w:val="24"/>
        </w:rPr>
      </w:pPr>
    </w:p>
    <w:p w14:paraId="448C55CB" w14:textId="68B0B8F6" w:rsidR="00CA5727" w:rsidRPr="009C68EB" w:rsidRDefault="00CA5727" w:rsidP="00A061CC">
      <w:pPr>
        <w:pStyle w:val="Default"/>
        <w:rPr>
          <w:rFonts w:ascii="Arial Narrow" w:hAnsi="Arial Narrow"/>
        </w:rPr>
      </w:pPr>
      <w:r w:rsidRPr="009C68EB">
        <w:rPr>
          <w:rFonts w:ascii="Arial Narrow" w:hAnsi="Arial Narrow"/>
          <w:b/>
        </w:rPr>
        <w:t>PROJECT LOCATION:</w:t>
      </w:r>
      <w:r w:rsidR="00A061CC" w:rsidRPr="009C68EB">
        <w:rPr>
          <w:rFonts w:ascii="Arial Narrow" w:hAnsi="Arial Narrow"/>
        </w:rPr>
        <w:t xml:space="preserve"> </w:t>
      </w:r>
      <w:r w:rsidR="00F771C1">
        <w:rPr>
          <w:rFonts w:ascii="Arial Narrow" w:hAnsi="Arial Narrow"/>
        </w:rPr>
        <w:t>OFFSHORE DEEP WESTERN ORANGE BASIN, OFF THE WEST COAST of SOUTH AFRICA</w:t>
      </w:r>
    </w:p>
    <w:p w14:paraId="56C435CB" w14:textId="77777777" w:rsidR="00CA5727" w:rsidRPr="009C68EB" w:rsidRDefault="00CA5727" w:rsidP="00CA5727">
      <w:pPr>
        <w:jc w:val="both"/>
        <w:rPr>
          <w:rFonts w:ascii="Arial Narrow" w:hAnsi="Arial Narrow" w:cs="Arial"/>
          <w:b/>
          <w:sz w:val="24"/>
          <w:szCs w:val="24"/>
        </w:rPr>
      </w:pPr>
    </w:p>
    <w:p w14:paraId="40509FE9" w14:textId="2AE36879" w:rsidR="00CA5727" w:rsidRPr="009C68EB" w:rsidRDefault="00CA5727" w:rsidP="00A061CC">
      <w:pPr>
        <w:pStyle w:val="Default"/>
        <w:rPr>
          <w:rFonts w:ascii="Arial Narrow" w:hAnsi="Arial Narrow" w:cs="Times New Roman"/>
        </w:rPr>
      </w:pPr>
      <w:r w:rsidRPr="009C68EB">
        <w:rPr>
          <w:rFonts w:ascii="Arial Narrow" w:hAnsi="Arial Narrow"/>
          <w:b/>
        </w:rPr>
        <w:t>PROJECT REFERENCE NUMBER:</w:t>
      </w:r>
      <w:r w:rsidR="00A061CC" w:rsidRPr="009C68EB">
        <w:rPr>
          <w:rFonts w:ascii="Arial Narrow" w:hAnsi="Arial Narrow" w:cs="Times New Roman"/>
        </w:rPr>
        <w:t xml:space="preserve"> </w:t>
      </w:r>
      <w:r w:rsidR="00F771C1">
        <w:rPr>
          <w:rFonts w:ascii="Arial Narrow" w:hAnsi="Arial Narrow" w:cs="Times New Roman"/>
        </w:rPr>
        <w:t>12/3/343</w:t>
      </w:r>
      <w:r w:rsidR="00555F8B">
        <w:rPr>
          <w:rStyle w:val="eop"/>
          <w:rFonts w:ascii="Calibri" w:hAnsi="Calibri" w:cs="Calibri"/>
        </w:rPr>
        <w:t> </w:t>
      </w:r>
    </w:p>
    <w:p w14:paraId="70138E73" w14:textId="77777777" w:rsidR="00CA5727" w:rsidRPr="009C68EB" w:rsidRDefault="00CA5727" w:rsidP="00CA5727">
      <w:pPr>
        <w:jc w:val="both"/>
        <w:rPr>
          <w:rFonts w:ascii="Arial Narrow" w:hAnsi="Arial Narrow" w:cs="Arial"/>
          <w:b/>
          <w:sz w:val="24"/>
          <w:szCs w:val="24"/>
        </w:rPr>
      </w:pPr>
    </w:p>
    <w:p w14:paraId="394CC5B1" w14:textId="0740D8EC" w:rsidR="00CA5727" w:rsidRPr="009C68EB" w:rsidRDefault="00CA5727" w:rsidP="00A061CC">
      <w:pPr>
        <w:pStyle w:val="Default"/>
        <w:rPr>
          <w:rFonts w:ascii="Arial Narrow" w:hAnsi="Arial Narrow"/>
        </w:rPr>
      </w:pPr>
      <w:r w:rsidRPr="009C68EB">
        <w:rPr>
          <w:rFonts w:ascii="Arial Narrow" w:hAnsi="Arial Narrow"/>
          <w:b/>
        </w:rPr>
        <w:t>DATE PROJECT/ACTIVITY AUTHORISED:</w:t>
      </w:r>
      <w:r w:rsidR="00A061CC" w:rsidRPr="009C68EB">
        <w:rPr>
          <w:rFonts w:ascii="Arial Narrow" w:hAnsi="Arial Narrow"/>
        </w:rPr>
        <w:t xml:space="preserve"> </w:t>
      </w:r>
      <w:r w:rsidR="00B61853">
        <w:rPr>
          <w:rFonts w:ascii="Arial Narrow" w:hAnsi="Arial Narrow"/>
        </w:rPr>
        <w:t xml:space="preserve"> 30 November 2018</w:t>
      </w:r>
    </w:p>
    <w:p w14:paraId="5148F124" w14:textId="77777777" w:rsidR="00A061CC" w:rsidRPr="009C68EB" w:rsidRDefault="00A061CC" w:rsidP="00A061CC">
      <w:pPr>
        <w:pStyle w:val="Default"/>
        <w:rPr>
          <w:rFonts w:ascii="Arial Narrow" w:hAnsi="Arial Narrow"/>
        </w:rPr>
      </w:pPr>
    </w:p>
    <w:p w14:paraId="7657C3BF" w14:textId="2FDE0E43" w:rsidR="00A009DF" w:rsidRPr="009C68EB" w:rsidRDefault="00A009DF" w:rsidP="00A061CC">
      <w:pPr>
        <w:pStyle w:val="Default"/>
        <w:rPr>
          <w:rFonts w:ascii="Arial Narrow" w:hAnsi="Arial Narrow"/>
        </w:rPr>
      </w:pPr>
      <w:r w:rsidRPr="009C68EB">
        <w:rPr>
          <w:rFonts w:ascii="Arial Narrow" w:hAnsi="Arial Narrow"/>
          <w:b/>
        </w:rPr>
        <w:t>DATE NOTIFIED OF DECISION:</w:t>
      </w:r>
      <w:r w:rsidR="00A061CC" w:rsidRPr="009C68EB">
        <w:rPr>
          <w:rFonts w:ascii="Arial Narrow" w:hAnsi="Arial Narrow"/>
        </w:rPr>
        <w:t xml:space="preserve">  </w:t>
      </w:r>
      <w:r w:rsidR="00F6181C">
        <w:rPr>
          <w:rFonts w:ascii="Arial Narrow" w:hAnsi="Arial Narrow"/>
        </w:rPr>
        <w:t>2</w:t>
      </w:r>
      <w:r w:rsidR="00B61853">
        <w:rPr>
          <w:rFonts w:ascii="Arial Narrow" w:hAnsi="Arial Narrow"/>
        </w:rPr>
        <w:t>5 October 2023</w:t>
      </w:r>
    </w:p>
    <w:p w14:paraId="1FFD7624" w14:textId="77777777" w:rsidR="00A061CC" w:rsidRPr="009C68EB" w:rsidRDefault="00A061CC" w:rsidP="00A061CC">
      <w:pPr>
        <w:pStyle w:val="Default"/>
        <w:rPr>
          <w:rFonts w:ascii="Arial Narrow" w:hAnsi="Arial Narrow"/>
        </w:rPr>
      </w:pPr>
    </w:p>
    <w:p w14:paraId="59AA1160" w14:textId="77777777" w:rsidR="000932CD" w:rsidRPr="009C68EB" w:rsidRDefault="000932CD" w:rsidP="000932CD">
      <w:pPr>
        <w:pStyle w:val="Default"/>
        <w:jc w:val="both"/>
        <w:rPr>
          <w:rFonts w:ascii="Arial Narrow" w:hAnsi="Arial Narrow"/>
        </w:rPr>
      </w:pPr>
    </w:p>
    <w:p w14:paraId="27B80D3A" w14:textId="77777777" w:rsidR="00A061CC" w:rsidRPr="009C68EB" w:rsidRDefault="00A061CC" w:rsidP="00A061CC">
      <w:pPr>
        <w:pStyle w:val="Default"/>
        <w:rPr>
          <w:rFonts w:ascii="Arial Narrow" w:hAnsi="Arial Narrow"/>
        </w:rPr>
      </w:pPr>
    </w:p>
    <w:tbl>
      <w:tblPr>
        <w:tblStyle w:val="TableGrid"/>
        <w:tblW w:w="0" w:type="auto"/>
        <w:tblInd w:w="-176" w:type="dxa"/>
        <w:tblLook w:val="04A0" w:firstRow="1" w:lastRow="0" w:firstColumn="1" w:lastColumn="0" w:noHBand="0" w:noVBand="1"/>
      </w:tblPr>
      <w:tblGrid>
        <w:gridCol w:w="7245"/>
        <w:gridCol w:w="6879"/>
      </w:tblGrid>
      <w:tr w:rsidR="00CA5727" w:rsidRPr="009C68EB" w14:paraId="7DA44DB8" w14:textId="77777777" w:rsidTr="00BE2697">
        <w:tc>
          <w:tcPr>
            <w:tcW w:w="7639" w:type="dxa"/>
            <w:shd w:val="clear" w:color="auto" w:fill="C6D9F1" w:themeFill="text2" w:themeFillTint="33"/>
          </w:tcPr>
          <w:p w14:paraId="5AE0250A" w14:textId="7777777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lastRenderedPageBreak/>
              <w:t xml:space="preserve">DETAILS OF THE APPELLANT </w:t>
            </w:r>
          </w:p>
          <w:p w14:paraId="63F9C899" w14:textId="77777777" w:rsidR="00CA5727" w:rsidRPr="009C68EB" w:rsidRDefault="00CA5727" w:rsidP="00CA5727">
            <w:pPr>
              <w:jc w:val="both"/>
              <w:rPr>
                <w:rFonts w:ascii="Arial Narrow" w:hAnsi="Arial Narrow" w:cs="Arial"/>
                <w:b/>
                <w:sz w:val="24"/>
                <w:szCs w:val="24"/>
              </w:rPr>
            </w:pPr>
          </w:p>
        </w:tc>
        <w:tc>
          <w:tcPr>
            <w:tcW w:w="7246" w:type="dxa"/>
            <w:shd w:val="clear" w:color="auto" w:fill="C6D9F1" w:themeFill="text2" w:themeFillTint="33"/>
          </w:tcPr>
          <w:p w14:paraId="009178DE" w14:textId="7777777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DETAILS OF THE APPLICANT</w:t>
            </w:r>
          </w:p>
          <w:p w14:paraId="67D6839C" w14:textId="77777777" w:rsidR="00785EEA" w:rsidRPr="009C68EB" w:rsidRDefault="00785EEA" w:rsidP="00CA5727">
            <w:pPr>
              <w:jc w:val="both"/>
              <w:rPr>
                <w:rFonts w:ascii="Arial Narrow" w:hAnsi="Arial Narrow" w:cs="Arial"/>
                <w:b/>
                <w:sz w:val="24"/>
                <w:szCs w:val="24"/>
              </w:rPr>
            </w:pPr>
          </w:p>
          <w:p w14:paraId="2B83E2E6" w14:textId="77777777" w:rsidR="00785EEA" w:rsidRPr="009C68EB" w:rsidRDefault="00785EEA" w:rsidP="00CA5727">
            <w:pPr>
              <w:jc w:val="both"/>
              <w:rPr>
                <w:rFonts w:ascii="Arial Narrow" w:hAnsi="Arial Narrow" w:cs="Arial"/>
                <w:b/>
                <w:sz w:val="24"/>
                <w:szCs w:val="24"/>
              </w:rPr>
            </w:pPr>
          </w:p>
        </w:tc>
      </w:tr>
      <w:tr w:rsidR="00CA5727" w:rsidRPr="009C68EB" w14:paraId="78C506AE" w14:textId="77777777" w:rsidTr="00CA5727">
        <w:tc>
          <w:tcPr>
            <w:tcW w:w="7639" w:type="dxa"/>
          </w:tcPr>
          <w:p w14:paraId="23468694" w14:textId="4456C627" w:rsidR="00E52FC9"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Name of appellant:</w:t>
            </w:r>
            <w:r w:rsidR="00555F8B">
              <w:rPr>
                <w:rFonts w:ascii="Arial Narrow" w:hAnsi="Arial Narrow" w:cs="Arial"/>
                <w:b/>
                <w:sz w:val="24"/>
                <w:szCs w:val="24"/>
              </w:rPr>
              <w:t xml:space="preserve"> </w:t>
            </w:r>
            <w:r w:rsidR="00555F8B" w:rsidRPr="00555F8B">
              <w:rPr>
                <w:rFonts w:ascii="Arial Narrow" w:hAnsi="Arial Narrow" w:cs="Arial"/>
                <w:bCs/>
                <w:sz w:val="24"/>
                <w:szCs w:val="24"/>
              </w:rPr>
              <w:t>The</w:t>
            </w:r>
            <w:r w:rsidR="00555F8B">
              <w:rPr>
                <w:rFonts w:ascii="Arial Narrow" w:hAnsi="Arial Narrow" w:cs="Arial"/>
                <w:b/>
                <w:sz w:val="24"/>
                <w:szCs w:val="24"/>
              </w:rPr>
              <w:t xml:space="preserve"> </w:t>
            </w:r>
            <w:r w:rsidR="00555F8B" w:rsidRPr="00555F8B">
              <w:rPr>
                <w:rFonts w:ascii="Arial Narrow" w:hAnsi="Arial Narrow" w:cs="Arial"/>
                <w:bCs/>
                <w:sz w:val="24"/>
                <w:szCs w:val="24"/>
              </w:rPr>
              <w:t>Green Connection and Natural Justice</w:t>
            </w:r>
          </w:p>
          <w:p w14:paraId="6482EC04" w14:textId="77777777" w:rsidR="00CA5727" w:rsidRPr="009C68EB" w:rsidRDefault="00CA5727" w:rsidP="00CA5727">
            <w:pPr>
              <w:jc w:val="both"/>
              <w:rPr>
                <w:rFonts w:ascii="Arial Narrow" w:hAnsi="Arial Narrow" w:cs="Arial"/>
                <w:b/>
                <w:sz w:val="24"/>
                <w:szCs w:val="24"/>
              </w:rPr>
            </w:pPr>
          </w:p>
          <w:p w14:paraId="0DA54CD1" w14:textId="77777777" w:rsidR="00BE2697" w:rsidRPr="009C68EB" w:rsidRDefault="00BE2697" w:rsidP="00CA5727">
            <w:pPr>
              <w:jc w:val="both"/>
              <w:rPr>
                <w:rFonts w:ascii="Arial Narrow" w:hAnsi="Arial Narrow" w:cs="Arial"/>
                <w:b/>
                <w:sz w:val="24"/>
                <w:szCs w:val="24"/>
              </w:rPr>
            </w:pPr>
          </w:p>
        </w:tc>
        <w:tc>
          <w:tcPr>
            <w:tcW w:w="7246" w:type="dxa"/>
          </w:tcPr>
          <w:p w14:paraId="1980AEF7" w14:textId="43A0BC68"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Name of applicant:</w:t>
            </w:r>
            <w:r w:rsidR="00EB4F27" w:rsidRPr="009C68EB">
              <w:rPr>
                <w:rFonts w:ascii="Arial Narrow" w:hAnsi="Arial Narrow" w:cs="Arial"/>
                <w:bCs/>
                <w:sz w:val="24"/>
                <w:szCs w:val="24"/>
              </w:rPr>
              <w:t xml:space="preserve"> </w:t>
            </w:r>
            <w:proofErr w:type="spellStart"/>
            <w:r w:rsidR="00026C73">
              <w:rPr>
                <w:rFonts w:ascii="Arial Narrow" w:hAnsi="Arial Narrow" w:cs="Arial"/>
                <w:bCs/>
                <w:sz w:val="24"/>
                <w:szCs w:val="24"/>
              </w:rPr>
              <w:t>Sezigyn</w:t>
            </w:r>
            <w:proofErr w:type="spellEnd"/>
            <w:r w:rsidR="00026C73">
              <w:rPr>
                <w:rFonts w:ascii="Arial Narrow" w:hAnsi="Arial Narrow" w:cs="Arial"/>
                <w:bCs/>
                <w:sz w:val="24"/>
                <w:szCs w:val="24"/>
              </w:rPr>
              <w:t xml:space="preserve"> (Pty) Ltd</w:t>
            </w:r>
          </w:p>
        </w:tc>
      </w:tr>
      <w:tr w:rsidR="00CA5727" w:rsidRPr="009C68EB" w14:paraId="4EAF9750" w14:textId="77777777" w:rsidTr="00CA5727">
        <w:tc>
          <w:tcPr>
            <w:tcW w:w="7639" w:type="dxa"/>
          </w:tcPr>
          <w:p w14:paraId="399E2FF5" w14:textId="7777777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Appellant’s representative (if applicable):</w:t>
            </w:r>
          </w:p>
          <w:p w14:paraId="04A28F77" w14:textId="7658DFBA" w:rsidR="00CA5727" w:rsidRPr="00555F8B" w:rsidRDefault="00555F8B" w:rsidP="00CA5727">
            <w:pPr>
              <w:jc w:val="both"/>
              <w:rPr>
                <w:rFonts w:ascii="Arial Narrow" w:hAnsi="Arial Narrow" w:cs="Arial"/>
                <w:bCs/>
                <w:sz w:val="24"/>
                <w:szCs w:val="24"/>
              </w:rPr>
            </w:pPr>
            <w:r w:rsidRPr="00555F8B">
              <w:rPr>
                <w:rFonts w:ascii="Arial Narrow" w:hAnsi="Arial Narrow" w:cs="Arial"/>
                <w:bCs/>
                <w:sz w:val="24"/>
                <w:szCs w:val="24"/>
              </w:rPr>
              <w:t>Green Connection: Liziwe McDaid</w:t>
            </w:r>
          </w:p>
          <w:p w14:paraId="71F249FC" w14:textId="0D968455" w:rsidR="00555F8B" w:rsidRPr="00555F8B" w:rsidRDefault="00555F8B" w:rsidP="00CA5727">
            <w:pPr>
              <w:jc w:val="both"/>
              <w:rPr>
                <w:rFonts w:ascii="Arial Narrow" w:hAnsi="Arial Narrow" w:cs="Arial"/>
                <w:bCs/>
                <w:sz w:val="24"/>
                <w:szCs w:val="24"/>
              </w:rPr>
            </w:pPr>
            <w:r w:rsidRPr="00555F8B">
              <w:rPr>
                <w:rFonts w:ascii="Arial Narrow" w:hAnsi="Arial Narrow" w:cs="Arial"/>
                <w:bCs/>
                <w:sz w:val="24"/>
                <w:szCs w:val="24"/>
              </w:rPr>
              <w:t>Natural Justice: Melissa Groenink-Groves</w:t>
            </w:r>
          </w:p>
          <w:p w14:paraId="57D52735" w14:textId="77777777" w:rsidR="00CA5727" w:rsidRPr="009C68EB" w:rsidRDefault="00CA5727" w:rsidP="00CA5727">
            <w:pPr>
              <w:jc w:val="both"/>
              <w:rPr>
                <w:rFonts w:ascii="Arial Narrow" w:hAnsi="Arial Narrow" w:cs="Arial"/>
                <w:b/>
                <w:sz w:val="24"/>
                <w:szCs w:val="24"/>
              </w:rPr>
            </w:pPr>
          </w:p>
          <w:p w14:paraId="274DF7BE" w14:textId="77777777" w:rsidR="00BE2697" w:rsidRPr="009C68EB" w:rsidRDefault="00BE2697" w:rsidP="00CA5727">
            <w:pPr>
              <w:jc w:val="both"/>
              <w:rPr>
                <w:rFonts w:ascii="Arial Narrow" w:hAnsi="Arial Narrow" w:cs="Arial"/>
                <w:b/>
                <w:sz w:val="24"/>
                <w:szCs w:val="24"/>
              </w:rPr>
            </w:pPr>
          </w:p>
        </w:tc>
        <w:tc>
          <w:tcPr>
            <w:tcW w:w="7246" w:type="dxa"/>
          </w:tcPr>
          <w:p w14:paraId="118DB860" w14:textId="77777777" w:rsidR="00CA5727" w:rsidRDefault="00CA5727" w:rsidP="00CA5727">
            <w:pPr>
              <w:jc w:val="both"/>
              <w:rPr>
                <w:rFonts w:ascii="Arial Narrow" w:hAnsi="Arial Narrow" w:cs="Arial"/>
                <w:b/>
                <w:sz w:val="24"/>
                <w:szCs w:val="24"/>
              </w:rPr>
            </w:pPr>
            <w:r w:rsidRPr="009C68EB">
              <w:rPr>
                <w:rFonts w:ascii="Arial Narrow" w:hAnsi="Arial Narrow" w:cs="Arial"/>
                <w:b/>
                <w:sz w:val="24"/>
                <w:szCs w:val="24"/>
              </w:rPr>
              <w:t>Applicant’s representative (if applicable):</w:t>
            </w:r>
          </w:p>
          <w:p w14:paraId="7526058B" w14:textId="46291D51" w:rsidR="00555F8B" w:rsidRPr="00555F8B" w:rsidRDefault="004406D3" w:rsidP="00CA5727">
            <w:pPr>
              <w:jc w:val="both"/>
              <w:rPr>
                <w:rFonts w:ascii="Arial Narrow" w:hAnsi="Arial Narrow" w:cs="Arial"/>
                <w:bCs/>
                <w:sz w:val="24"/>
                <w:szCs w:val="24"/>
              </w:rPr>
            </w:pPr>
            <w:r>
              <w:rPr>
                <w:rFonts w:ascii="Arial Narrow" w:hAnsi="Arial Narrow" w:cs="Arial"/>
                <w:bCs/>
                <w:sz w:val="24"/>
                <w:szCs w:val="24"/>
              </w:rPr>
              <w:t>Mr Thabang Khomo</w:t>
            </w:r>
          </w:p>
        </w:tc>
      </w:tr>
      <w:tr w:rsidR="00CA5727" w:rsidRPr="009C68EB" w14:paraId="4470CC0D" w14:textId="77777777" w:rsidTr="00CA5727">
        <w:tc>
          <w:tcPr>
            <w:tcW w:w="7639" w:type="dxa"/>
          </w:tcPr>
          <w:p w14:paraId="414CAE9B" w14:textId="7777777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Postal address:</w:t>
            </w:r>
          </w:p>
          <w:p w14:paraId="35D34248" w14:textId="4967FB10" w:rsidR="00CA5727" w:rsidRPr="00555F8B" w:rsidRDefault="00555F8B" w:rsidP="00CA5727">
            <w:pPr>
              <w:jc w:val="both"/>
              <w:rPr>
                <w:rFonts w:ascii="Arial Narrow" w:hAnsi="Arial Narrow" w:cs="Arial"/>
                <w:bCs/>
                <w:sz w:val="24"/>
                <w:szCs w:val="24"/>
              </w:rPr>
            </w:pPr>
            <w:r w:rsidRPr="00555F8B">
              <w:rPr>
                <w:rFonts w:ascii="Arial Narrow" w:hAnsi="Arial Narrow" w:cs="Arial"/>
                <w:bCs/>
                <w:sz w:val="24"/>
                <w:szCs w:val="24"/>
              </w:rPr>
              <w:t>53 Hout Street, Cape Town</w:t>
            </w:r>
          </w:p>
          <w:p w14:paraId="04A2930F" w14:textId="77777777" w:rsidR="00CA5727" w:rsidRPr="009C68EB" w:rsidRDefault="00CA5727" w:rsidP="00CA5727">
            <w:pPr>
              <w:jc w:val="both"/>
              <w:rPr>
                <w:rFonts w:ascii="Arial Narrow" w:hAnsi="Arial Narrow" w:cs="Arial"/>
                <w:b/>
                <w:sz w:val="24"/>
                <w:szCs w:val="24"/>
              </w:rPr>
            </w:pPr>
          </w:p>
          <w:p w14:paraId="6BF06430" w14:textId="77777777" w:rsidR="00BE2697" w:rsidRPr="009C68EB" w:rsidRDefault="00BE2697" w:rsidP="00CA5727">
            <w:pPr>
              <w:jc w:val="both"/>
              <w:rPr>
                <w:rFonts w:ascii="Arial Narrow" w:hAnsi="Arial Narrow" w:cs="Arial"/>
                <w:b/>
                <w:sz w:val="24"/>
                <w:szCs w:val="24"/>
              </w:rPr>
            </w:pPr>
          </w:p>
        </w:tc>
        <w:tc>
          <w:tcPr>
            <w:tcW w:w="7246" w:type="dxa"/>
          </w:tcPr>
          <w:p w14:paraId="0040790E" w14:textId="7C253A4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Postal Address:</w:t>
            </w:r>
            <w:r w:rsidR="00EB4F27" w:rsidRPr="009C68EB">
              <w:rPr>
                <w:rFonts w:ascii="Arial Narrow" w:hAnsi="Arial Narrow"/>
                <w:color w:val="626262"/>
                <w:sz w:val="24"/>
                <w:szCs w:val="24"/>
                <w:shd w:val="clear" w:color="auto" w:fill="FCFCFC"/>
              </w:rPr>
              <w:t xml:space="preserve"> </w:t>
            </w:r>
            <w:r w:rsidR="007E22B8">
              <w:rPr>
                <w:rFonts w:ascii="Arial Narrow" w:hAnsi="Arial Narrow"/>
                <w:color w:val="626262"/>
                <w:sz w:val="24"/>
                <w:szCs w:val="24"/>
                <w:shd w:val="clear" w:color="auto" w:fill="FCFCFC"/>
              </w:rPr>
              <w:t>Parade on Kloof Office Park, Unit 9, 132 The Parade Street, Oriel, Bedfordview, 2008</w:t>
            </w:r>
          </w:p>
        </w:tc>
      </w:tr>
      <w:tr w:rsidR="00CA5727" w:rsidRPr="009C68EB" w14:paraId="74303D7D" w14:textId="77777777" w:rsidTr="00CA5727">
        <w:tc>
          <w:tcPr>
            <w:tcW w:w="7639" w:type="dxa"/>
          </w:tcPr>
          <w:p w14:paraId="3650F0E2" w14:textId="7777777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Email Address:</w:t>
            </w:r>
          </w:p>
          <w:p w14:paraId="5D2D46F8" w14:textId="1DB01250" w:rsidR="00CA5727" w:rsidRPr="00555F8B" w:rsidRDefault="00A75303" w:rsidP="00CA5727">
            <w:pPr>
              <w:jc w:val="both"/>
              <w:rPr>
                <w:rFonts w:ascii="Arial Narrow" w:hAnsi="Arial Narrow" w:cs="Arial"/>
                <w:bCs/>
                <w:sz w:val="24"/>
                <w:szCs w:val="24"/>
              </w:rPr>
            </w:pPr>
            <w:hyperlink r:id="rId12" w:history="1">
              <w:r w:rsidR="00555F8B" w:rsidRPr="00555F8B">
                <w:rPr>
                  <w:rStyle w:val="Hyperlink"/>
                  <w:rFonts w:ascii="Arial Narrow" w:hAnsi="Arial Narrow" w:cs="Arial"/>
                  <w:bCs/>
                  <w:sz w:val="24"/>
                  <w:szCs w:val="24"/>
                </w:rPr>
                <w:t>liziwe@mweb.co.za</w:t>
              </w:r>
            </w:hyperlink>
            <w:r w:rsidR="00555F8B" w:rsidRPr="00555F8B">
              <w:rPr>
                <w:rFonts w:ascii="Arial Narrow" w:hAnsi="Arial Narrow" w:cs="Arial"/>
                <w:bCs/>
                <w:sz w:val="24"/>
                <w:szCs w:val="24"/>
              </w:rPr>
              <w:t xml:space="preserve"> / </w:t>
            </w:r>
            <w:hyperlink r:id="rId13" w:history="1">
              <w:r w:rsidR="00555F8B" w:rsidRPr="00555F8B">
                <w:rPr>
                  <w:rStyle w:val="Hyperlink"/>
                  <w:rFonts w:ascii="Arial Narrow" w:hAnsi="Arial Narrow" w:cs="Arial"/>
                  <w:bCs/>
                  <w:sz w:val="24"/>
                  <w:szCs w:val="24"/>
                </w:rPr>
                <w:t>melissa@naturaljustice.org</w:t>
              </w:r>
            </w:hyperlink>
            <w:r w:rsidR="00555F8B" w:rsidRPr="00555F8B">
              <w:rPr>
                <w:rFonts w:ascii="Arial Narrow" w:hAnsi="Arial Narrow" w:cs="Arial"/>
                <w:bCs/>
                <w:sz w:val="24"/>
                <w:szCs w:val="24"/>
              </w:rPr>
              <w:t xml:space="preserve"> </w:t>
            </w:r>
          </w:p>
          <w:p w14:paraId="2D0877EE" w14:textId="77777777" w:rsidR="00BE2697" w:rsidRPr="009C68EB" w:rsidRDefault="00BE2697" w:rsidP="00CA5727">
            <w:pPr>
              <w:jc w:val="both"/>
              <w:rPr>
                <w:rFonts w:ascii="Arial Narrow" w:hAnsi="Arial Narrow" w:cs="Arial"/>
                <w:b/>
                <w:sz w:val="24"/>
                <w:szCs w:val="24"/>
              </w:rPr>
            </w:pPr>
          </w:p>
        </w:tc>
        <w:tc>
          <w:tcPr>
            <w:tcW w:w="7246" w:type="dxa"/>
          </w:tcPr>
          <w:p w14:paraId="38EDA527" w14:textId="2FE79CBC" w:rsidR="00EB4F27" w:rsidRPr="009C68EB" w:rsidRDefault="00CA5727" w:rsidP="00EB4F27">
            <w:pPr>
              <w:jc w:val="both"/>
              <w:rPr>
                <w:rFonts w:ascii="Arial Narrow" w:hAnsi="Arial Narrow" w:cs="Arial"/>
                <w:bCs/>
                <w:color w:val="000000" w:themeColor="text1"/>
                <w:sz w:val="24"/>
                <w:szCs w:val="24"/>
              </w:rPr>
            </w:pPr>
            <w:r w:rsidRPr="009C68EB">
              <w:rPr>
                <w:rFonts w:ascii="Arial Narrow" w:hAnsi="Arial Narrow" w:cs="Arial"/>
                <w:b/>
                <w:sz w:val="24"/>
                <w:szCs w:val="24"/>
              </w:rPr>
              <w:t>Email Address:</w:t>
            </w:r>
            <w:r w:rsidR="00EB4F27" w:rsidRPr="009C68EB">
              <w:rPr>
                <w:rFonts w:ascii="Arial Narrow" w:hAnsi="Arial Narrow"/>
                <w:sz w:val="24"/>
                <w:szCs w:val="24"/>
              </w:rPr>
              <w:t xml:space="preserve"> </w:t>
            </w:r>
            <w:r w:rsidR="007E22B8">
              <w:rPr>
                <w:rFonts w:ascii="Arial Narrow" w:hAnsi="Arial Narrow"/>
                <w:sz w:val="24"/>
                <w:szCs w:val="24"/>
              </w:rPr>
              <w:t>sungusungu@mweb.co.za</w:t>
            </w:r>
          </w:p>
          <w:p w14:paraId="0FE58BC8" w14:textId="77777777" w:rsidR="00CA5727" w:rsidRPr="009C68EB" w:rsidRDefault="00CA5727" w:rsidP="00CA5727">
            <w:pPr>
              <w:jc w:val="both"/>
              <w:rPr>
                <w:rFonts w:ascii="Arial Narrow" w:hAnsi="Arial Narrow" w:cs="Arial"/>
                <w:b/>
                <w:sz w:val="24"/>
                <w:szCs w:val="24"/>
              </w:rPr>
            </w:pPr>
          </w:p>
        </w:tc>
      </w:tr>
      <w:tr w:rsidR="00CA5727" w:rsidRPr="009C68EB" w14:paraId="0674BBC9" w14:textId="77777777" w:rsidTr="00CA5727">
        <w:tc>
          <w:tcPr>
            <w:tcW w:w="7639" w:type="dxa"/>
          </w:tcPr>
          <w:p w14:paraId="79B3C956" w14:textId="7777777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Telephone number:</w:t>
            </w:r>
          </w:p>
          <w:p w14:paraId="48799A9F" w14:textId="6E075E0D" w:rsidR="00BE2697" w:rsidRPr="001C207F" w:rsidRDefault="00555F8B" w:rsidP="00F6181C">
            <w:pPr>
              <w:pStyle w:val="Default"/>
              <w:jc w:val="both"/>
              <w:rPr>
                <w:rFonts w:ascii="Arial Narrow" w:hAnsi="Arial Narrow"/>
                <w:bCs/>
              </w:rPr>
            </w:pPr>
            <w:r w:rsidRPr="001C207F">
              <w:rPr>
                <w:rFonts w:ascii="Arial Narrow" w:hAnsi="Arial Narrow"/>
                <w:bCs/>
              </w:rPr>
              <w:t>082 731 5643</w:t>
            </w:r>
          </w:p>
        </w:tc>
        <w:tc>
          <w:tcPr>
            <w:tcW w:w="7246" w:type="dxa"/>
          </w:tcPr>
          <w:p w14:paraId="7C2DA927" w14:textId="7D57CF24" w:rsidR="00EB4F27" w:rsidRDefault="00CA5727" w:rsidP="00EB4F27">
            <w:pPr>
              <w:jc w:val="both"/>
              <w:rPr>
                <w:rFonts w:ascii="Arial Narrow" w:hAnsi="Arial Narrow"/>
                <w:color w:val="626262"/>
                <w:sz w:val="24"/>
                <w:szCs w:val="24"/>
                <w:shd w:val="clear" w:color="auto" w:fill="FCFCFC"/>
              </w:rPr>
            </w:pPr>
            <w:r w:rsidRPr="009C68EB">
              <w:rPr>
                <w:rFonts w:ascii="Arial Narrow" w:hAnsi="Arial Narrow" w:cs="Arial"/>
                <w:b/>
                <w:sz w:val="24"/>
                <w:szCs w:val="24"/>
              </w:rPr>
              <w:t>Telephone number:</w:t>
            </w:r>
            <w:r w:rsidR="00EB4F27" w:rsidRPr="009C68EB">
              <w:rPr>
                <w:rFonts w:ascii="Arial Narrow" w:hAnsi="Arial Narrow"/>
                <w:color w:val="626262"/>
                <w:sz w:val="24"/>
                <w:szCs w:val="24"/>
                <w:shd w:val="clear" w:color="auto" w:fill="FCFCFC"/>
              </w:rPr>
              <w:t xml:space="preserve"> </w:t>
            </w:r>
          </w:p>
          <w:p w14:paraId="3901A69C" w14:textId="3576C9A1" w:rsidR="008E7CE9" w:rsidRPr="009C68EB" w:rsidRDefault="008E7CE9" w:rsidP="00EB4F27">
            <w:pPr>
              <w:jc w:val="both"/>
              <w:rPr>
                <w:rFonts w:ascii="Arial Narrow" w:hAnsi="Arial Narrow"/>
                <w:color w:val="626262"/>
                <w:sz w:val="24"/>
                <w:szCs w:val="24"/>
                <w:shd w:val="clear" w:color="auto" w:fill="FCFCFC"/>
              </w:rPr>
            </w:pPr>
            <w:r>
              <w:rPr>
                <w:rFonts w:ascii="Arial Narrow" w:hAnsi="Arial Narrow"/>
                <w:color w:val="626262"/>
                <w:sz w:val="24"/>
                <w:szCs w:val="24"/>
                <w:shd w:val="clear" w:color="auto" w:fill="FCFCFC"/>
              </w:rPr>
              <w:t>(011) 615 4451</w:t>
            </w:r>
          </w:p>
          <w:p w14:paraId="7EBF2829" w14:textId="77777777" w:rsidR="00CA5727" w:rsidRPr="009C68EB" w:rsidRDefault="00CA5727" w:rsidP="00CA5727">
            <w:pPr>
              <w:jc w:val="both"/>
              <w:rPr>
                <w:rFonts w:ascii="Arial Narrow" w:hAnsi="Arial Narrow" w:cs="Arial"/>
                <w:b/>
                <w:sz w:val="24"/>
                <w:szCs w:val="24"/>
              </w:rPr>
            </w:pPr>
          </w:p>
        </w:tc>
      </w:tr>
      <w:tr w:rsidR="00CA5727" w:rsidRPr="009C68EB" w14:paraId="7822A0F0" w14:textId="77777777" w:rsidTr="00CA5727">
        <w:tc>
          <w:tcPr>
            <w:tcW w:w="7639" w:type="dxa"/>
          </w:tcPr>
          <w:p w14:paraId="4754D07B" w14:textId="77777777" w:rsidR="00CA5727" w:rsidRPr="009C68EB" w:rsidRDefault="00CA5727" w:rsidP="00CA5727">
            <w:pPr>
              <w:jc w:val="both"/>
              <w:rPr>
                <w:rFonts w:ascii="Arial Narrow" w:hAnsi="Arial Narrow" w:cs="Arial"/>
                <w:b/>
                <w:sz w:val="24"/>
                <w:szCs w:val="24"/>
              </w:rPr>
            </w:pPr>
            <w:r w:rsidRPr="009C68EB">
              <w:rPr>
                <w:rFonts w:ascii="Arial Narrow" w:hAnsi="Arial Narrow" w:cs="Arial"/>
                <w:b/>
                <w:sz w:val="24"/>
                <w:szCs w:val="24"/>
              </w:rPr>
              <w:t>Fax Number:</w:t>
            </w:r>
          </w:p>
          <w:p w14:paraId="1BCEDCF2" w14:textId="7B3917A3" w:rsidR="00CA5727" w:rsidRPr="001C207F" w:rsidRDefault="00555F8B" w:rsidP="00CA5727">
            <w:pPr>
              <w:jc w:val="both"/>
              <w:rPr>
                <w:rFonts w:ascii="Arial Narrow" w:hAnsi="Arial Narrow" w:cs="Arial"/>
                <w:bCs/>
                <w:sz w:val="24"/>
                <w:szCs w:val="24"/>
              </w:rPr>
            </w:pPr>
            <w:r w:rsidRPr="001C207F">
              <w:rPr>
                <w:rFonts w:ascii="Arial Narrow" w:hAnsi="Arial Narrow" w:cs="Arial"/>
                <w:bCs/>
                <w:sz w:val="24"/>
                <w:szCs w:val="24"/>
              </w:rPr>
              <w:t>N/A</w:t>
            </w:r>
          </w:p>
          <w:p w14:paraId="69FEF6B8" w14:textId="77777777" w:rsidR="00BE2697" w:rsidRPr="009C68EB" w:rsidRDefault="00BE2697" w:rsidP="00CA5727">
            <w:pPr>
              <w:jc w:val="both"/>
              <w:rPr>
                <w:rFonts w:ascii="Arial Narrow" w:hAnsi="Arial Narrow" w:cs="Arial"/>
                <w:b/>
                <w:sz w:val="24"/>
                <w:szCs w:val="24"/>
              </w:rPr>
            </w:pPr>
          </w:p>
        </w:tc>
        <w:tc>
          <w:tcPr>
            <w:tcW w:w="7246" w:type="dxa"/>
          </w:tcPr>
          <w:p w14:paraId="754BE3A2" w14:textId="2CB28819" w:rsidR="00EB4F27" w:rsidRPr="009C68EB" w:rsidRDefault="00CA5727" w:rsidP="00EB4F27">
            <w:pPr>
              <w:jc w:val="both"/>
              <w:rPr>
                <w:rFonts w:ascii="Arial Narrow" w:hAnsi="Arial Narrow"/>
                <w:color w:val="626262"/>
                <w:sz w:val="24"/>
                <w:szCs w:val="24"/>
                <w:shd w:val="clear" w:color="auto" w:fill="FCFCFC"/>
              </w:rPr>
            </w:pPr>
            <w:r w:rsidRPr="009C68EB">
              <w:rPr>
                <w:rFonts w:ascii="Arial Narrow" w:hAnsi="Arial Narrow" w:cs="Arial"/>
                <w:b/>
                <w:sz w:val="24"/>
                <w:szCs w:val="24"/>
              </w:rPr>
              <w:t>Fax number:</w:t>
            </w:r>
            <w:r w:rsidR="00EB4F27" w:rsidRPr="009C68EB">
              <w:rPr>
                <w:rFonts w:ascii="Arial Narrow" w:hAnsi="Arial Narrow"/>
                <w:color w:val="626262"/>
                <w:sz w:val="24"/>
                <w:szCs w:val="24"/>
                <w:shd w:val="clear" w:color="auto" w:fill="FCFCFC"/>
              </w:rPr>
              <w:t xml:space="preserve"> </w:t>
            </w:r>
          </w:p>
          <w:p w14:paraId="7B68A22D" w14:textId="47A540F7" w:rsidR="00CA5727" w:rsidRPr="009C68EB" w:rsidRDefault="00555F8B" w:rsidP="00CA5727">
            <w:pPr>
              <w:jc w:val="both"/>
              <w:rPr>
                <w:rFonts w:ascii="Arial Narrow" w:hAnsi="Arial Narrow" w:cs="Arial"/>
                <w:b/>
                <w:sz w:val="24"/>
                <w:szCs w:val="24"/>
              </w:rPr>
            </w:pPr>
            <w:r>
              <w:rPr>
                <w:rFonts w:ascii="Arial Narrow" w:hAnsi="Arial Narrow" w:cs="Arial"/>
                <w:b/>
                <w:sz w:val="24"/>
                <w:szCs w:val="24"/>
              </w:rPr>
              <w:t>N/A</w:t>
            </w:r>
          </w:p>
        </w:tc>
      </w:tr>
    </w:tbl>
    <w:p w14:paraId="63851C7C" w14:textId="0BD033BA" w:rsidR="00985F2E" w:rsidRDefault="00985F2E" w:rsidP="00CA5727">
      <w:pPr>
        <w:jc w:val="both"/>
        <w:rPr>
          <w:rFonts w:ascii="Arial Narrow" w:hAnsi="Arial Narrow" w:cs="Arial"/>
          <w:b/>
          <w:sz w:val="24"/>
          <w:szCs w:val="24"/>
        </w:rPr>
      </w:pPr>
    </w:p>
    <w:p w14:paraId="4D5D2C54" w14:textId="77777777" w:rsidR="00985F2E" w:rsidRDefault="00985F2E">
      <w:pPr>
        <w:rPr>
          <w:rFonts w:ascii="Arial Narrow" w:hAnsi="Arial Narrow" w:cs="Arial"/>
          <w:b/>
          <w:sz w:val="24"/>
          <w:szCs w:val="24"/>
        </w:rPr>
      </w:pPr>
      <w:r>
        <w:rPr>
          <w:rFonts w:ascii="Arial Narrow" w:hAnsi="Arial Narrow" w:cs="Arial"/>
          <w:b/>
          <w:sz w:val="24"/>
          <w:szCs w:val="24"/>
        </w:rPr>
        <w:br w:type="page"/>
      </w:r>
    </w:p>
    <w:p w14:paraId="520458D1" w14:textId="77777777" w:rsidR="00785EEA" w:rsidRPr="009C68EB" w:rsidRDefault="00785EEA" w:rsidP="00CA5727">
      <w:pPr>
        <w:jc w:val="both"/>
        <w:rPr>
          <w:rFonts w:ascii="Arial Narrow" w:hAnsi="Arial Narrow" w:cs="Arial"/>
          <w:b/>
          <w:sz w:val="24"/>
          <w:szCs w:val="24"/>
        </w:rPr>
      </w:pPr>
    </w:p>
    <w:tbl>
      <w:tblPr>
        <w:tblW w:w="1419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gridCol w:w="2542"/>
        <w:gridCol w:w="2353"/>
      </w:tblGrid>
      <w:tr w:rsidR="00DE68EE" w:rsidRPr="009C68EB" w14:paraId="48858976" w14:textId="77777777" w:rsidTr="002B4A7C">
        <w:tc>
          <w:tcPr>
            <w:tcW w:w="9296" w:type="dxa"/>
            <w:shd w:val="clear" w:color="auto" w:fill="C6D9F1" w:themeFill="text2" w:themeFillTint="33"/>
          </w:tcPr>
          <w:p w14:paraId="04A2A049" w14:textId="77777777" w:rsidR="00DE68EE" w:rsidRPr="009C68EB" w:rsidRDefault="00DE68EE" w:rsidP="00CA5727">
            <w:pPr>
              <w:jc w:val="both"/>
              <w:rPr>
                <w:rFonts w:ascii="Arial Narrow" w:hAnsi="Arial Narrow" w:cs="Arial"/>
                <w:b/>
                <w:sz w:val="24"/>
                <w:szCs w:val="24"/>
              </w:rPr>
            </w:pPr>
            <w:r w:rsidRPr="009C68EB">
              <w:rPr>
                <w:rFonts w:ascii="Arial Narrow" w:hAnsi="Arial Narrow" w:cs="Arial"/>
                <w:b/>
                <w:sz w:val="24"/>
                <w:szCs w:val="24"/>
              </w:rPr>
              <w:t xml:space="preserve">GROUNDS OF APPEAL </w:t>
            </w:r>
          </w:p>
          <w:p w14:paraId="6DEBBED3" w14:textId="77777777" w:rsidR="00DE68EE" w:rsidRPr="009C68EB" w:rsidRDefault="00DE68EE" w:rsidP="00CA5727">
            <w:pPr>
              <w:jc w:val="both"/>
              <w:rPr>
                <w:rFonts w:ascii="Arial Narrow" w:hAnsi="Arial Narrow" w:cs="Arial"/>
                <w:b/>
                <w:sz w:val="24"/>
                <w:szCs w:val="24"/>
              </w:rPr>
            </w:pPr>
          </w:p>
        </w:tc>
        <w:tc>
          <w:tcPr>
            <w:tcW w:w="2542" w:type="dxa"/>
            <w:shd w:val="clear" w:color="auto" w:fill="C6D9F1" w:themeFill="text2" w:themeFillTint="33"/>
          </w:tcPr>
          <w:p w14:paraId="0804883C" w14:textId="77777777" w:rsidR="00DE68EE" w:rsidRPr="009C68EB" w:rsidRDefault="00DE68EE" w:rsidP="005134FA">
            <w:pPr>
              <w:jc w:val="both"/>
              <w:rPr>
                <w:rFonts w:ascii="Arial Narrow" w:hAnsi="Arial Narrow" w:cs="Arial"/>
                <w:b/>
                <w:sz w:val="24"/>
                <w:szCs w:val="24"/>
              </w:rPr>
            </w:pPr>
            <w:r w:rsidRPr="009C68EB">
              <w:rPr>
                <w:rFonts w:ascii="Arial Narrow" w:hAnsi="Arial Narrow" w:cs="Arial"/>
                <w:b/>
                <w:sz w:val="24"/>
                <w:szCs w:val="24"/>
              </w:rPr>
              <w:t>RESPONDING STATEMENT BY THE APPLICANT</w:t>
            </w:r>
          </w:p>
        </w:tc>
        <w:tc>
          <w:tcPr>
            <w:tcW w:w="2353" w:type="dxa"/>
            <w:shd w:val="clear" w:color="auto" w:fill="C6D9F1" w:themeFill="text2" w:themeFillTint="33"/>
          </w:tcPr>
          <w:p w14:paraId="30EB28B6" w14:textId="77777777" w:rsidR="00DE68EE" w:rsidRPr="009C68EB" w:rsidRDefault="00DE68EE" w:rsidP="00A061CC">
            <w:pPr>
              <w:jc w:val="both"/>
              <w:rPr>
                <w:rFonts w:ascii="Arial Narrow" w:hAnsi="Arial Narrow" w:cs="Arial"/>
                <w:b/>
                <w:sz w:val="24"/>
                <w:szCs w:val="24"/>
              </w:rPr>
            </w:pPr>
            <w:r w:rsidRPr="009C68EB">
              <w:rPr>
                <w:rFonts w:ascii="Arial Narrow" w:hAnsi="Arial Narrow" w:cs="Arial"/>
                <w:b/>
                <w:sz w:val="24"/>
                <w:szCs w:val="24"/>
              </w:rPr>
              <w:t>COMMENTS BY THE D</w:t>
            </w:r>
            <w:r w:rsidR="00A061CC" w:rsidRPr="009C68EB">
              <w:rPr>
                <w:rFonts w:ascii="Arial Narrow" w:hAnsi="Arial Narrow" w:cs="Arial"/>
                <w:b/>
                <w:sz w:val="24"/>
                <w:szCs w:val="24"/>
              </w:rPr>
              <w:t>MRE/PASA</w:t>
            </w:r>
          </w:p>
        </w:tc>
      </w:tr>
      <w:tr w:rsidR="00DE68EE" w:rsidRPr="009C68EB" w14:paraId="6D4FA3F3" w14:textId="77777777" w:rsidTr="002B4A7C">
        <w:trPr>
          <w:trHeight w:val="380"/>
        </w:trPr>
        <w:tc>
          <w:tcPr>
            <w:tcW w:w="9296" w:type="dxa"/>
            <w:shd w:val="clear" w:color="auto" w:fill="FFFFFF" w:themeFill="background1"/>
          </w:tcPr>
          <w:p w14:paraId="35AF49AC" w14:textId="77777777" w:rsidR="00825278" w:rsidRPr="007B4880" w:rsidRDefault="00825278" w:rsidP="00825278">
            <w:pPr>
              <w:spacing w:after="120"/>
              <w:jc w:val="both"/>
            </w:pPr>
            <w:r w:rsidRPr="007B4880">
              <w:rPr>
                <w:b/>
                <w:bCs/>
                <w:u w:val="single"/>
              </w:rPr>
              <w:t>INTRODUCTION</w:t>
            </w:r>
            <w:r w:rsidRPr="007B4880">
              <w:t> </w:t>
            </w:r>
          </w:p>
          <w:p w14:paraId="7EED7680" w14:textId="4D2F4C50" w:rsidR="00936D07" w:rsidRPr="00A92A4A" w:rsidRDefault="00936D07" w:rsidP="00D35008">
            <w:pPr>
              <w:pStyle w:val="ListParagraph"/>
              <w:numPr>
                <w:ilvl w:val="0"/>
                <w:numId w:val="2"/>
              </w:numPr>
              <w:spacing w:after="120"/>
              <w:contextualSpacing w:val="0"/>
              <w:jc w:val="both"/>
              <w:rPr>
                <w:color w:val="000000" w:themeColor="text1"/>
              </w:rPr>
            </w:pPr>
            <w:r w:rsidRPr="00815528">
              <w:t xml:space="preserve">This is an appeal against an environmental authorisation granted by the </w:t>
            </w:r>
            <w:r>
              <w:t xml:space="preserve">Deputy </w:t>
            </w:r>
            <w:r w:rsidRPr="00815528">
              <w:t>Director</w:t>
            </w:r>
            <w:r>
              <w:t>-</w:t>
            </w:r>
            <w:r w:rsidRPr="00815528">
              <w:t xml:space="preserve">General:  Mineral Regulation on </w:t>
            </w:r>
            <w:r w:rsidR="00694A41">
              <w:t>30</w:t>
            </w:r>
            <w:r>
              <w:t xml:space="preserve"> November 2018 to </w:t>
            </w:r>
            <w:proofErr w:type="spellStart"/>
            <w:r>
              <w:t>Seziygn</w:t>
            </w:r>
            <w:proofErr w:type="spellEnd"/>
            <w:r>
              <w:t xml:space="preserve"> (Pty) Ltd (‘</w:t>
            </w:r>
            <w:proofErr w:type="spellStart"/>
            <w:r>
              <w:t>Sezigyn</w:t>
            </w:r>
            <w:proofErr w:type="spellEnd"/>
            <w:r>
              <w:t xml:space="preserve">’) </w:t>
            </w:r>
            <w:r w:rsidRPr="00815528">
              <w:t xml:space="preserve">in respect of the proposed </w:t>
            </w:r>
            <w:r>
              <w:t xml:space="preserve">undertaking of desktop </w:t>
            </w:r>
            <w:r w:rsidRPr="00A92A4A">
              <w:rPr>
                <w:color w:val="000000" w:themeColor="text1"/>
              </w:rPr>
              <w:t>analysis of existing data available for the proposed application area, which would involve the following activities:</w:t>
            </w:r>
          </w:p>
          <w:p w14:paraId="76E80295" w14:textId="77777777" w:rsidR="00936D07" w:rsidRDefault="00936D07" w:rsidP="00D35008">
            <w:pPr>
              <w:pStyle w:val="ListParagraph"/>
              <w:numPr>
                <w:ilvl w:val="0"/>
                <w:numId w:val="3"/>
              </w:numPr>
              <w:spacing w:after="60" w:line="360" w:lineRule="auto"/>
              <w:ind w:left="759"/>
              <w:jc w:val="both"/>
              <w:rPr>
                <w:color w:val="000000" w:themeColor="text1"/>
              </w:rPr>
            </w:pPr>
            <w:r>
              <w:rPr>
                <w:color w:val="000000" w:themeColor="text1"/>
              </w:rPr>
              <w:t xml:space="preserve">Processing and interpretation of existing 2D seismic </w:t>
            </w:r>
            <w:proofErr w:type="gramStart"/>
            <w:r>
              <w:rPr>
                <w:color w:val="000000" w:themeColor="text1"/>
              </w:rPr>
              <w:t>data;</w:t>
            </w:r>
            <w:proofErr w:type="gramEnd"/>
          </w:p>
          <w:p w14:paraId="3DB81886" w14:textId="77777777" w:rsidR="00936D07" w:rsidRDefault="00936D07" w:rsidP="00D35008">
            <w:pPr>
              <w:pStyle w:val="ListParagraph"/>
              <w:numPr>
                <w:ilvl w:val="0"/>
                <w:numId w:val="3"/>
              </w:numPr>
              <w:spacing w:after="60" w:line="360" w:lineRule="auto"/>
              <w:ind w:left="759"/>
              <w:jc w:val="both"/>
              <w:rPr>
                <w:color w:val="000000" w:themeColor="text1"/>
              </w:rPr>
            </w:pPr>
            <w:r>
              <w:rPr>
                <w:color w:val="000000" w:themeColor="text1"/>
              </w:rPr>
              <w:t xml:space="preserve">Synthesising seismic and regional gravity and magnetic </w:t>
            </w:r>
            <w:proofErr w:type="gramStart"/>
            <w:r>
              <w:rPr>
                <w:color w:val="000000" w:themeColor="text1"/>
              </w:rPr>
              <w:t>datasets;</w:t>
            </w:r>
            <w:proofErr w:type="gramEnd"/>
          </w:p>
          <w:p w14:paraId="5A919309" w14:textId="77777777" w:rsidR="00936D07" w:rsidRDefault="00936D07" w:rsidP="00D35008">
            <w:pPr>
              <w:pStyle w:val="ListParagraph"/>
              <w:numPr>
                <w:ilvl w:val="0"/>
                <w:numId w:val="3"/>
              </w:numPr>
              <w:spacing w:after="60" w:line="360" w:lineRule="auto"/>
              <w:ind w:left="759"/>
              <w:jc w:val="both"/>
              <w:rPr>
                <w:color w:val="000000" w:themeColor="text1"/>
              </w:rPr>
            </w:pPr>
            <w:r>
              <w:rPr>
                <w:color w:val="000000" w:themeColor="text1"/>
              </w:rPr>
              <w:t xml:space="preserve">Undertaking petroleum system </w:t>
            </w:r>
            <w:proofErr w:type="gramStart"/>
            <w:r>
              <w:rPr>
                <w:color w:val="000000" w:themeColor="text1"/>
              </w:rPr>
              <w:t>modelling;</w:t>
            </w:r>
            <w:proofErr w:type="gramEnd"/>
          </w:p>
          <w:p w14:paraId="1DC2AF9E" w14:textId="77777777" w:rsidR="00936D07" w:rsidRDefault="00936D07" w:rsidP="00D35008">
            <w:pPr>
              <w:pStyle w:val="ListParagraph"/>
              <w:numPr>
                <w:ilvl w:val="0"/>
                <w:numId w:val="3"/>
              </w:numPr>
              <w:spacing w:after="60" w:line="360" w:lineRule="auto"/>
              <w:ind w:left="759"/>
              <w:jc w:val="both"/>
              <w:rPr>
                <w:color w:val="000000" w:themeColor="text1"/>
              </w:rPr>
            </w:pPr>
            <w:r>
              <w:rPr>
                <w:color w:val="000000" w:themeColor="text1"/>
              </w:rPr>
              <w:t>Upgrading the geological model based on geological and geophysical studies and interpretation; and</w:t>
            </w:r>
          </w:p>
          <w:p w14:paraId="50D7F0BA" w14:textId="77777777" w:rsidR="00936D07" w:rsidRPr="00F8168E" w:rsidRDefault="00936D07" w:rsidP="00D35008">
            <w:pPr>
              <w:pStyle w:val="ListParagraph"/>
              <w:numPr>
                <w:ilvl w:val="0"/>
                <w:numId w:val="3"/>
              </w:numPr>
              <w:spacing w:after="60" w:line="360" w:lineRule="auto"/>
              <w:ind w:left="759"/>
              <w:jc w:val="both"/>
              <w:rPr>
                <w:color w:val="000000" w:themeColor="text1"/>
              </w:rPr>
            </w:pPr>
            <w:r>
              <w:rPr>
                <w:color w:val="000000" w:themeColor="text1"/>
              </w:rPr>
              <w:t>Identifying and ranking prospects.</w:t>
            </w:r>
          </w:p>
          <w:p w14:paraId="1310D29A" w14:textId="1A1AC33A" w:rsidR="00936D07" w:rsidRDefault="00642589" w:rsidP="00D35008">
            <w:pPr>
              <w:pStyle w:val="ListParagraph"/>
              <w:numPr>
                <w:ilvl w:val="0"/>
                <w:numId w:val="2"/>
              </w:numPr>
              <w:spacing w:after="120"/>
              <w:contextualSpacing w:val="0"/>
              <w:jc w:val="both"/>
            </w:pPr>
            <w:r>
              <w:t xml:space="preserve">The proposed application area </w:t>
            </w:r>
            <w:r w:rsidR="006C2034">
              <w:t xml:space="preserve">is the Orange Basin Area located off the West Coast of South Africa, between Saldanha in the South and </w:t>
            </w:r>
            <w:proofErr w:type="spellStart"/>
            <w:r w:rsidR="006C2034">
              <w:t>Kleinsee</w:t>
            </w:r>
            <w:proofErr w:type="spellEnd"/>
            <w:r w:rsidR="006C2034">
              <w:t xml:space="preserve"> in the North. The application ar</w:t>
            </w:r>
            <w:r w:rsidR="004E486F">
              <w:t>ea covers approximately 37 335 km</w:t>
            </w:r>
            <w:r w:rsidR="004E486F">
              <w:rPr>
                <w:vertAlign w:val="superscript"/>
              </w:rPr>
              <w:t>2</w:t>
            </w:r>
            <w:r w:rsidR="004E486F">
              <w:t xml:space="preserve"> in extent and in water depths ranging from 500m to 4500m.</w:t>
            </w:r>
          </w:p>
          <w:p w14:paraId="3980BD2C" w14:textId="16D3DA2B" w:rsidR="00825278" w:rsidRDefault="00825278" w:rsidP="00D35008">
            <w:pPr>
              <w:pStyle w:val="ListParagraph"/>
              <w:numPr>
                <w:ilvl w:val="0"/>
                <w:numId w:val="2"/>
              </w:numPr>
              <w:spacing w:after="120"/>
              <w:contextualSpacing w:val="0"/>
              <w:jc w:val="both"/>
            </w:pPr>
            <w:r w:rsidRPr="003578F5">
              <w:t>This appeal is made jointly by Green Connection and Natural Justice</w:t>
            </w:r>
            <w:r w:rsidR="00771B64">
              <w:t xml:space="preserve"> (‘the appellants’)</w:t>
            </w:r>
            <w:r w:rsidRPr="003578F5">
              <w:t xml:space="preserve">. </w:t>
            </w:r>
          </w:p>
          <w:p w14:paraId="1AE60ACB" w14:textId="77777777" w:rsidR="00825278" w:rsidRPr="003578F5" w:rsidRDefault="00825278" w:rsidP="00D35008">
            <w:pPr>
              <w:pStyle w:val="ListParagraph"/>
              <w:numPr>
                <w:ilvl w:val="1"/>
                <w:numId w:val="2"/>
              </w:numPr>
              <w:spacing w:after="120"/>
              <w:contextualSpacing w:val="0"/>
              <w:jc w:val="both"/>
            </w:pPr>
            <w:r w:rsidRPr="003578F5">
              <w:t xml:space="preserve">Green Connection is a registered non-governmental organisation, that believes that economic growth and development, improvement of socio-economic status and conservation of natural resources can only take place within a commonly understood framework of sustainable development. The Green Connection aims to provide practical support to both the </w:t>
            </w:r>
            <w:r w:rsidRPr="003578F5">
              <w:lastRenderedPageBreak/>
              <w:t>government and non-governmental/civil society sectors, which are an integral part of sustainable development.</w:t>
            </w:r>
          </w:p>
          <w:p w14:paraId="0638BE01" w14:textId="77777777" w:rsidR="00825278" w:rsidRPr="007B4880" w:rsidRDefault="00825278" w:rsidP="00D35008">
            <w:pPr>
              <w:pStyle w:val="ListParagraph"/>
              <w:numPr>
                <w:ilvl w:val="1"/>
                <w:numId w:val="2"/>
              </w:numPr>
              <w:spacing w:after="120"/>
              <w:contextualSpacing w:val="0"/>
              <w:jc w:val="both"/>
            </w:pPr>
            <w:r w:rsidRPr="007B4880">
              <w:t xml:space="preserve">Natural Justice:  Lawyers for Communities and the Environment, a non-profit organisation specialising in environmental and human rights law in Africa – with a focus on the pursuit of social and environmental justice for local and indigenous communities. Natural Justice offers direct support to local and indigenous communities impacted by the ever-increasing demand for land and resources, through legal empowerment. </w:t>
            </w:r>
          </w:p>
          <w:p w14:paraId="49DDDEF1" w14:textId="1AAD05A4" w:rsidR="00825278" w:rsidRPr="007B4880" w:rsidRDefault="00825278" w:rsidP="00D35008">
            <w:pPr>
              <w:pStyle w:val="ListParagraph"/>
              <w:numPr>
                <w:ilvl w:val="0"/>
                <w:numId w:val="2"/>
              </w:numPr>
              <w:spacing w:after="120"/>
              <w:contextualSpacing w:val="0"/>
              <w:jc w:val="both"/>
            </w:pPr>
            <w:r w:rsidRPr="007B4880">
              <w:t xml:space="preserve">The </w:t>
            </w:r>
            <w:r w:rsidR="005C40F4">
              <w:t>a</w:t>
            </w:r>
            <w:r w:rsidRPr="007B4880">
              <w:t xml:space="preserve">ppellants have legal standing to bring the Appeal not only in terms of section 43 of the National Environmental Management Act, 107 of 1998 (“NEMA”), but also to enforce environmental laws in terms of section 32 of NEMA.  The </w:t>
            </w:r>
            <w:r w:rsidR="005C40F4">
              <w:t>a</w:t>
            </w:r>
            <w:r w:rsidRPr="007B4880">
              <w:t>ppellants act in the interest of, or on behalf of, persons who, for practical reasons, are unable to institute such proceedings, including members of coastal communities who do not have the capacity or resources to do so</w:t>
            </w:r>
            <w:r>
              <w:t>,</w:t>
            </w:r>
            <w:r w:rsidRPr="007B4880">
              <w:t xml:space="preserve"> in the interests of coastal communities who  are affected by the proposed seismic activities,</w:t>
            </w:r>
            <w:r w:rsidRPr="007B4880">
              <w:rPr>
                <w:rFonts w:ascii="Verdana" w:hAnsi="Verdana" w:cs="Verdana"/>
                <w:sz w:val="17"/>
                <w:szCs w:val="17"/>
              </w:rPr>
              <w:t xml:space="preserve"> </w:t>
            </w:r>
            <w:r w:rsidRPr="007B4880">
              <w:t>in the public interest, and in the interest of protecting the environment, to further the objectives of section 24 of the Constitution of the Republic of South Africa, 1996 (“the Constitution”) and NEMA. </w:t>
            </w:r>
          </w:p>
          <w:p w14:paraId="5FBE8E54" w14:textId="69320851" w:rsidR="00825278" w:rsidRPr="007B4880" w:rsidRDefault="00825278" w:rsidP="00D35008">
            <w:pPr>
              <w:pStyle w:val="ListParagraph"/>
              <w:numPr>
                <w:ilvl w:val="0"/>
                <w:numId w:val="2"/>
              </w:numPr>
              <w:spacing w:after="120"/>
              <w:contextualSpacing w:val="0"/>
              <w:jc w:val="both"/>
            </w:pPr>
            <w:r w:rsidRPr="007B4880">
              <w:t xml:space="preserve">The </w:t>
            </w:r>
            <w:r w:rsidR="005C40F4">
              <w:t>a</w:t>
            </w:r>
            <w:r w:rsidRPr="007B4880">
              <w:t xml:space="preserve">ppellants contend that the </w:t>
            </w:r>
            <w:r w:rsidR="00F2555E">
              <w:t xml:space="preserve">proposed activities do not constitute an exploration operation as defined in the Mineral </w:t>
            </w:r>
            <w:r w:rsidR="00AA6002">
              <w:t>&amp; Petroleum Resources Development Act, 2002 (‘MPRDA’) and did not require environmental authorisation</w:t>
            </w:r>
            <w:r w:rsidR="0062409B">
              <w:t>;</w:t>
            </w:r>
            <w:r w:rsidR="00AA6002">
              <w:t xml:space="preserve"> </w:t>
            </w:r>
            <w:proofErr w:type="gramStart"/>
            <w:r w:rsidR="00AA6002">
              <w:t>alternatively</w:t>
            </w:r>
            <w:proofErr w:type="gramEnd"/>
            <w:r w:rsidR="00AA6002">
              <w:t xml:space="preserve"> that the environmental </w:t>
            </w:r>
            <w:proofErr w:type="spellStart"/>
            <w:r w:rsidR="006935CA">
              <w:t>environmental</w:t>
            </w:r>
            <w:proofErr w:type="spellEnd"/>
            <w:r w:rsidR="006935CA">
              <w:t xml:space="preserve"> impact assessment process </w:t>
            </w:r>
            <w:r w:rsidR="00AA6002">
              <w:t xml:space="preserve">was </w:t>
            </w:r>
            <w:r w:rsidRPr="007B4880">
              <w:t xml:space="preserve">fatally flawed, for the reasons set out in this Appeal, and cannot serve as a lawful basis for granting an environmental authorisation.  The </w:t>
            </w:r>
            <w:r w:rsidR="00E355AC">
              <w:t xml:space="preserve">environmental </w:t>
            </w:r>
            <w:r w:rsidRPr="007B4880">
              <w:t xml:space="preserve">authorisation granted by the </w:t>
            </w:r>
            <w:r w:rsidR="0062409B">
              <w:t xml:space="preserve">Deputy </w:t>
            </w:r>
            <w:r w:rsidRPr="007B4880">
              <w:t xml:space="preserve">Director-General: Mineral Regulation of the </w:t>
            </w:r>
            <w:r>
              <w:t>Department of Mineral Resources and Energy</w:t>
            </w:r>
            <w:r w:rsidRPr="007B4880">
              <w:t xml:space="preserve"> (“the decision-maker” or “the </w:t>
            </w:r>
            <w:r w:rsidR="0062409B">
              <w:t>D</w:t>
            </w:r>
            <w:r w:rsidRPr="007B4880">
              <w:t xml:space="preserve">DG”) </w:t>
            </w:r>
            <w:r w:rsidR="00694A41">
              <w:t xml:space="preserve">to </w:t>
            </w:r>
            <w:proofErr w:type="spellStart"/>
            <w:r w:rsidR="00694A41">
              <w:t>Sezigyn</w:t>
            </w:r>
            <w:proofErr w:type="spellEnd"/>
            <w:r w:rsidR="00694A41">
              <w:t xml:space="preserve"> </w:t>
            </w:r>
            <w:r w:rsidRPr="007B4880">
              <w:t xml:space="preserve">is therefore defective and should be set aside in this appeal. </w:t>
            </w:r>
            <w:r>
              <w:t xml:space="preserve"> </w:t>
            </w:r>
          </w:p>
          <w:p w14:paraId="235FC4C5" w14:textId="7290E44D" w:rsidR="006211EF" w:rsidRPr="006211EF" w:rsidRDefault="00694A41" w:rsidP="00D35008">
            <w:pPr>
              <w:pStyle w:val="ListParagraph"/>
              <w:numPr>
                <w:ilvl w:val="0"/>
                <w:numId w:val="2"/>
              </w:numPr>
              <w:spacing w:after="120"/>
              <w:contextualSpacing w:val="0"/>
              <w:jc w:val="both"/>
              <w:rPr>
                <w:color w:val="000000" w:themeColor="text1"/>
              </w:rPr>
            </w:pPr>
            <w:r>
              <w:rPr>
                <w:color w:val="000000" w:themeColor="text1"/>
              </w:rPr>
              <w:t>By way of background, o</w:t>
            </w:r>
            <w:r w:rsidR="006211EF" w:rsidRPr="006211EF">
              <w:rPr>
                <w:color w:val="000000" w:themeColor="text1"/>
              </w:rPr>
              <w:t xml:space="preserve">n 25 October 2023, </w:t>
            </w:r>
            <w:r w:rsidR="005C3C37">
              <w:rPr>
                <w:color w:val="000000" w:themeColor="text1"/>
              </w:rPr>
              <w:t xml:space="preserve">the appellants received notification </w:t>
            </w:r>
            <w:r w:rsidR="00430704">
              <w:rPr>
                <w:color w:val="000000" w:themeColor="text1"/>
              </w:rPr>
              <w:t xml:space="preserve">(see </w:t>
            </w:r>
            <w:r w:rsidR="00430704" w:rsidRPr="00430704">
              <w:rPr>
                <w:b/>
                <w:bCs/>
                <w:color w:val="000000" w:themeColor="text1"/>
              </w:rPr>
              <w:t>Annexure A</w:t>
            </w:r>
            <w:r w:rsidR="00430704">
              <w:rPr>
                <w:color w:val="000000" w:themeColor="text1"/>
              </w:rPr>
              <w:t xml:space="preserve">) </w:t>
            </w:r>
            <w:r w:rsidR="005C3C37">
              <w:rPr>
                <w:color w:val="000000" w:themeColor="text1"/>
              </w:rPr>
              <w:t>from TotalEnergies EP South Africa B.V. (‘</w:t>
            </w:r>
            <w:r w:rsidR="006211EF" w:rsidRPr="006211EF">
              <w:rPr>
                <w:color w:val="000000" w:themeColor="text1"/>
              </w:rPr>
              <w:t>TEEPSA</w:t>
            </w:r>
            <w:r w:rsidR="005C3C37">
              <w:rPr>
                <w:color w:val="000000" w:themeColor="text1"/>
              </w:rPr>
              <w:t xml:space="preserve">’) </w:t>
            </w:r>
            <w:r w:rsidR="006211EF" w:rsidRPr="006211EF">
              <w:rPr>
                <w:color w:val="000000" w:themeColor="text1"/>
              </w:rPr>
              <w:t>that</w:t>
            </w:r>
            <w:r w:rsidR="008D1E1B">
              <w:rPr>
                <w:color w:val="000000" w:themeColor="text1"/>
              </w:rPr>
              <w:t>,</w:t>
            </w:r>
            <w:r w:rsidR="006211EF" w:rsidRPr="006211EF">
              <w:rPr>
                <w:color w:val="000000" w:themeColor="text1"/>
              </w:rPr>
              <w:t xml:space="preserve"> further to the consultation undertaken in relation to </w:t>
            </w:r>
            <w:r w:rsidR="00AB4532">
              <w:rPr>
                <w:color w:val="000000" w:themeColor="text1"/>
              </w:rPr>
              <w:t>an</w:t>
            </w:r>
            <w:r w:rsidR="006211EF" w:rsidRPr="006211EF">
              <w:rPr>
                <w:color w:val="000000" w:themeColor="text1"/>
              </w:rPr>
              <w:t xml:space="preserve"> application</w:t>
            </w:r>
            <w:r w:rsidR="00683C28">
              <w:rPr>
                <w:color w:val="000000" w:themeColor="text1"/>
              </w:rPr>
              <w:t xml:space="preserve"> by TEEPSA</w:t>
            </w:r>
            <w:r w:rsidR="006211EF" w:rsidRPr="006211EF">
              <w:rPr>
                <w:color w:val="000000" w:themeColor="text1"/>
              </w:rPr>
              <w:t xml:space="preserve"> for environmental authorisation</w:t>
            </w:r>
            <w:r w:rsidR="002F4E87">
              <w:rPr>
                <w:color w:val="000000" w:themeColor="text1"/>
              </w:rPr>
              <w:t xml:space="preserve"> </w:t>
            </w:r>
            <w:r w:rsidR="0071077F">
              <w:rPr>
                <w:color w:val="000000" w:themeColor="text1"/>
              </w:rPr>
              <w:t>to undertake offshore exploration well drilling in Block DWOB</w:t>
            </w:r>
            <w:r w:rsidR="008D1E1B">
              <w:rPr>
                <w:color w:val="000000" w:themeColor="text1"/>
              </w:rPr>
              <w:t>,</w:t>
            </w:r>
            <w:r w:rsidR="0071077F">
              <w:rPr>
                <w:color w:val="000000" w:themeColor="text1"/>
              </w:rPr>
              <w:t xml:space="preserve"> “</w:t>
            </w:r>
            <w:r w:rsidR="006211EF" w:rsidRPr="00385626">
              <w:rPr>
                <w:i/>
                <w:iCs/>
                <w:color w:val="000000" w:themeColor="text1"/>
              </w:rPr>
              <w:t xml:space="preserve">TEEPSA is bringing to your attention the current and </w:t>
            </w:r>
            <w:r w:rsidR="006211EF" w:rsidRPr="00385626">
              <w:rPr>
                <w:i/>
                <w:iCs/>
                <w:color w:val="000000" w:themeColor="text1"/>
              </w:rPr>
              <w:lastRenderedPageBreak/>
              <w:t>previous administrative decisions that have been issued in respect of offshore block Deep Water Orange Basin (DWOB Block)</w:t>
            </w:r>
            <w:r w:rsidR="00630BF4" w:rsidRPr="00385626">
              <w:rPr>
                <w:i/>
                <w:iCs/>
                <w:color w:val="000000" w:themeColor="text1"/>
              </w:rPr>
              <w:t>”</w:t>
            </w:r>
            <w:r w:rsidR="006211EF" w:rsidRPr="006211EF">
              <w:rPr>
                <w:color w:val="000000" w:themeColor="text1"/>
              </w:rPr>
              <w:t>. These administrative decisions included (among other</w:t>
            </w:r>
            <w:r w:rsidR="00442E28">
              <w:rPr>
                <w:color w:val="000000" w:themeColor="text1"/>
              </w:rPr>
              <w:t>s</w:t>
            </w:r>
            <w:r w:rsidR="006211EF" w:rsidRPr="006211EF">
              <w:rPr>
                <w:color w:val="000000" w:themeColor="text1"/>
              </w:rPr>
              <w:t xml:space="preserve">) </w:t>
            </w:r>
            <w:r w:rsidR="008D1E1B">
              <w:rPr>
                <w:color w:val="000000" w:themeColor="text1"/>
              </w:rPr>
              <w:t xml:space="preserve">the </w:t>
            </w:r>
            <w:r w:rsidR="006211EF" w:rsidRPr="006211EF">
              <w:rPr>
                <w:color w:val="000000" w:themeColor="text1"/>
              </w:rPr>
              <w:t xml:space="preserve">environmental authorisation (Reference No.: 12/3/343) granted to </w:t>
            </w:r>
            <w:proofErr w:type="spellStart"/>
            <w:r w:rsidR="006211EF" w:rsidRPr="006211EF">
              <w:rPr>
                <w:color w:val="000000" w:themeColor="text1"/>
              </w:rPr>
              <w:t>Sezigyn</w:t>
            </w:r>
            <w:proofErr w:type="spellEnd"/>
            <w:r w:rsidR="006211EF" w:rsidRPr="006211EF">
              <w:rPr>
                <w:color w:val="000000" w:themeColor="text1"/>
              </w:rPr>
              <w:t xml:space="preserve"> on 30 November 2018</w:t>
            </w:r>
            <w:r w:rsidR="00385626">
              <w:rPr>
                <w:color w:val="000000" w:themeColor="text1"/>
              </w:rPr>
              <w:t>.</w:t>
            </w:r>
            <w:r w:rsidR="006211EF" w:rsidRPr="006211EF">
              <w:rPr>
                <w:color w:val="000000" w:themeColor="text1"/>
              </w:rPr>
              <w:t xml:space="preserve"> </w:t>
            </w:r>
          </w:p>
          <w:p w14:paraId="0D021156" w14:textId="26779CC0" w:rsidR="006211EF" w:rsidRDefault="00DF2EE4" w:rsidP="00D35008">
            <w:pPr>
              <w:pStyle w:val="ListParagraph"/>
              <w:numPr>
                <w:ilvl w:val="0"/>
                <w:numId w:val="2"/>
              </w:numPr>
              <w:spacing w:after="120"/>
              <w:contextualSpacing w:val="0"/>
              <w:jc w:val="both"/>
            </w:pPr>
            <w:r>
              <w:t>TEEPSA currently holds the controlling interest (50%) in the exploration right granted over the DWOB Block, together with its partners Qatar Energy International E&amp;</w:t>
            </w:r>
            <w:r w:rsidR="00B9343C">
              <w:t xml:space="preserve">P LLC (30%) and </w:t>
            </w:r>
            <w:proofErr w:type="spellStart"/>
            <w:r w:rsidR="009E6174">
              <w:t>S</w:t>
            </w:r>
            <w:r w:rsidR="00B9343C">
              <w:t>ezigyn</w:t>
            </w:r>
            <w:proofErr w:type="spellEnd"/>
            <w:r w:rsidR="00B9343C">
              <w:t xml:space="preserve"> (20%).</w:t>
            </w:r>
          </w:p>
          <w:p w14:paraId="2C6710FF" w14:textId="663CC2E4" w:rsidR="00825278" w:rsidRPr="007B4880" w:rsidRDefault="008B5754" w:rsidP="00D35008">
            <w:pPr>
              <w:pStyle w:val="ListParagraph"/>
              <w:numPr>
                <w:ilvl w:val="0"/>
                <w:numId w:val="2"/>
              </w:numPr>
              <w:spacing w:after="120"/>
              <w:contextualSpacing w:val="0"/>
              <w:jc w:val="both"/>
            </w:pPr>
            <w:r>
              <w:t xml:space="preserve">In its notification to the appellants, TEEPSA </w:t>
            </w:r>
            <w:r w:rsidR="004810BC">
              <w:t>invites</w:t>
            </w:r>
            <w:r w:rsidR="00527261">
              <w:rPr>
                <w:color w:val="000000" w:themeColor="text1"/>
              </w:rPr>
              <w:t xml:space="preserve"> stakeholders </w:t>
            </w:r>
            <w:r w:rsidR="004810BC">
              <w:rPr>
                <w:color w:val="000000" w:themeColor="text1"/>
              </w:rPr>
              <w:t>to note the internal appeal process applicable to the environmental authorisation</w:t>
            </w:r>
            <w:r w:rsidR="00B36B71">
              <w:rPr>
                <w:color w:val="000000" w:themeColor="text1"/>
              </w:rPr>
              <w:t xml:space="preserve"> granted to </w:t>
            </w:r>
            <w:proofErr w:type="spellStart"/>
            <w:r w:rsidR="00B36B71">
              <w:rPr>
                <w:color w:val="000000" w:themeColor="text1"/>
              </w:rPr>
              <w:t>Sezigyn</w:t>
            </w:r>
            <w:proofErr w:type="spellEnd"/>
            <w:r w:rsidR="00B36B71">
              <w:rPr>
                <w:color w:val="000000" w:themeColor="text1"/>
              </w:rPr>
              <w:t xml:space="preserve">, namely </w:t>
            </w:r>
            <w:r w:rsidR="00B36B71" w:rsidRPr="00B36B71">
              <w:rPr>
                <w:i/>
                <w:iCs/>
                <w:color w:val="000000" w:themeColor="text1"/>
              </w:rPr>
              <w:t>“</w:t>
            </w:r>
            <w:r w:rsidR="00527261" w:rsidRPr="00B36B71">
              <w:rPr>
                <w:i/>
                <w:iCs/>
                <w:color w:val="000000" w:themeColor="text1"/>
              </w:rPr>
              <w:t>[t]he National Appeal Regulations published under Government Notice R933 … of 8 December 2014 (the National Appeal Regulations) read with section 43 of the National Environmental Management act, 1998 (NEMA)</w:t>
            </w:r>
            <w:r w:rsidR="00B36B71">
              <w:rPr>
                <w:i/>
                <w:iCs/>
                <w:color w:val="000000" w:themeColor="text1"/>
              </w:rPr>
              <w:t>”</w:t>
            </w:r>
            <w:r w:rsidR="00527261" w:rsidRPr="00B36B71">
              <w:rPr>
                <w:i/>
                <w:iCs/>
                <w:color w:val="000000" w:themeColor="text1"/>
              </w:rPr>
              <w:t>.</w:t>
            </w:r>
          </w:p>
          <w:p w14:paraId="036F998A" w14:textId="570EC12C" w:rsidR="00DE68EE" w:rsidRPr="00A23BBC" w:rsidRDefault="00CF3B64" w:rsidP="00D35008">
            <w:pPr>
              <w:pStyle w:val="ListParagraph"/>
              <w:numPr>
                <w:ilvl w:val="0"/>
                <w:numId w:val="2"/>
              </w:numPr>
              <w:spacing w:after="120"/>
              <w:ind w:left="357" w:hanging="357"/>
              <w:contextualSpacing w:val="0"/>
              <w:jc w:val="both"/>
              <w:rPr>
                <w:rFonts w:cstheme="minorHAnsi"/>
              </w:rPr>
            </w:pPr>
            <w:r w:rsidRPr="00A23BBC">
              <w:rPr>
                <w:rFonts w:cstheme="minorHAnsi"/>
              </w:rPr>
              <w:t>This notification by TEEPSA is highly unu</w:t>
            </w:r>
            <w:r w:rsidR="00AD5884" w:rsidRPr="00A23BBC">
              <w:rPr>
                <w:rFonts w:cstheme="minorHAnsi"/>
              </w:rPr>
              <w:t xml:space="preserve">sual, and invites the inference </w:t>
            </w:r>
            <w:r w:rsidR="00A23BBC" w:rsidRPr="00A23BBC">
              <w:rPr>
                <w:rFonts w:cstheme="minorHAnsi"/>
              </w:rPr>
              <w:t>that stakeholders were not previously informed of the internal appeal process applicable to the</w:t>
            </w:r>
            <w:r w:rsidR="00CA5EF3">
              <w:rPr>
                <w:rFonts w:cstheme="minorHAnsi"/>
              </w:rPr>
              <w:t xml:space="preserve"> 30 November 2018</w:t>
            </w:r>
            <w:r w:rsidR="00A23BBC" w:rsidRPr="00A23BBC">
              <w:rPr>
                <w:rFonts w:cstheme="minorHAnsi"/>
              </w:rPr>
              <w:t xml:space="preserve"> environmental authorisation granted to </w:t>
            </w:r>
            <w:proofErr w:type="spellStart"/>
            <w:r w:rsidR="00A23BBC" w:rsidRPr="00A23BBC">
              <w:rPr>
                <w:rFonts w:cstheme="minorHAnsi"/>
              </w:rPr>
              <w:t>Sezigyn</w:t>
            </w:r>
            <w:proofErr w:type="spellEnd"/>
            <w:r w:rsidR="00A23BBC" w:rsidRPr="00A23BBC">
              <w:rPr>
                <w:rFonts w:cstheme="minorHAnsi"/>
              </w:rPr>
              <w:t>.</w:t>
            </w:r>
            <w:r w:rsidR="00851C91">
              <w:rPr>
                <w:rFonts w:cstheme="minorHAnsi"/>
              </w:rPr>
              <w:t xml:space="preserve"> </w:t>
            </w:r>
            <w:r w:rsidR="00C53C6C">
              <w:rPr>
                <w:rFonts w:cstheme="minorHAnsi"/>
              </w:rPr>
              <w:t xml:space="preserve">It is recorded that the appellants only recently became aware of this notification, which was one of the attachments to </w:t>
            </w:r>
            <w:r w:rsidR="00E62DDC">
              <w:rPr>
                <w:rFonts w:cstheme="minorHAnsi"/>
              </w:rPr>
              <w:t xml:space="preserve">an email notification by TEEPSA’s </w:t>
            </w:r>
            <w:proofErr w:type="spellStart"/>
            <w:r w:rsidR="00E62DDC">
              <w:rPr>
                <w:rFonts w:cstheme="minorHAnsi"/>
              </w:rPr>
              <w:t>environomental</w:t>
            </w:r>
            <w:proofErr w:type="spellEnd"/>
            <w:r w:rsidR="00E62DDC">
              <w:rPr>
                <w:rFonts w:cstheme="minorHAnsi"/>
              </w:rPr>
              <w:t xml:space="preserve"> assessment practitioner </w:t>
            </w:r>
            <w:r w:rsidR="00703F39">
              <w:rPr>
                <w:rFonts w:cstheme="minorHAnsi"/>
              </w:rPr>
              <w:t xml:space="preserve">(SLR Consulting) </w:t>
            </w:r>
            <w:r w:rsidR="00E62DDC">
              <w:rPr>
                <w:rFonts w:cstheme="minorHAnsi"/>
              </w:rPr>
              <w:t xml:space="preserve">that related primarily to the </w:t>
            </w:r>
            <w:r w:rsidR="00BA5BC0">
              <w:rPr>
                <w:rFonts w:cstheme="minorHAnsi"/>
              </w:rPr>
              <w:t>competent authority</w:t>
            </w:r>
            <w:r w:rsidR="00703F39">
              <w:rPr>
                <w:rFonts w:cstheme="minorHAnsi"/>
              </w:rPr>
              <w:t xml:space="preserve"> </w:t>
            </w:r>
            <w:r w:rsidR="00E62DDC">
              <w:rPr>
                <w:rFonts w:cstheme="minorHAnsi"/>
              </w:rPr>
              <w:t xml:space="preserve">granting environmental authorisation </w:t>
            </w:r>
            <w:r w:rsidR="00703F39">
              <w:rPr>
                <w:rFonts w:cstheme="minorHAnsi"/>
              </w:rPr>
              <w:t>on 23 Oct</w:t>
            </w:r>
            <w:r w:rsidR="00954605">
              <w:rPr>
                <w:rFonts w:cstheme="minorHAnsi"/>
              </w:rPr>
              <w:t>o</w:t>
            </w:r>
            <w:r w:rsidR="00703F39">
              <w:rPr>
                <w:rFonts w:cstheme="minorHAnsi"/>
              </w:rPr>
              <w:t xml:space="preserve">ber 2023 </w:t>
            </w:r>
            <w:r w:rsidR="00E62DDC">
              <w:rPr>
                <w:rFonts w:cstheme="minorHAnsi"/>
              </w:rPr>
              <w:t xml:space="preserve">to TEEPSA to undertake </w:t>
            </w:r>
            <w:r w:rsidR="00004854">
              <w:rPr>
                <w:color w:val="000000" w:themeColor="text1"/>
              </w:rPr>
              <w:t>offshore exploration well drilling in Block DWOB.</w:t>
            </w:r>
            <w:r w:rsidR="00703F39">
              <w:rPr>
                <w:color w:val="000000" w:themeColor="text1"/>
              </w:rPr>
              <w:t xml:space="preserve"> </w:t>
            </w:r>
            <w:r w:rsidR="00954605">
              <w:rPr>
                <w:color w:val="000000" w:themeColor="text1"/>
              </w:rPr>
              <w:t>This appeal has been prepared with no additional information available to the appellants</w:t>
            </w:r>
            <w:r w:rsidR="003435BF">
              <w:rPr>
                <w:color w:val="000000" w:themeColor="text1"/>
              </w:rPr>
              <w:t>, who reserve their rights to supplement this appeal should additional information be forthcoming during this appeal process.</w:t>
            </w:r>
          </w:p>
        </w:tc>
        <w:tc>
          <w:tcPr>
            <w:tcW w:w="2542" w:type="dxa"/>
            <w:shd w:val="clear" w:color="auto" w:fill="FFFFFF" w:themeFill="background1"/>
          </w:tcPr>
          <w:p w14:paraId="6B61FFE6" w14:textId="77777777" w:rsidR="00DE68EE" w:rsidRPr="009C68EB" w:rsidRDefault="00DE68EE" w:rsidP="00CA5727">
            <w:pPr>
              <w:jc w:val="both"/>
              <w:rPr>
                <w:rFonts w:ascii="Arial Narrow" w:hAnsi="Arial Narrow" w:cs="Arial"/>
                <w:b/>
                <w:sz w:val="24"/>
                <w:szCs w:val="24"/>
              </w:rPr>
            </w:pPr>
          </w:p>
        </w:tc>
        <w:tc>
          <w:tcPr>
            <w:tcW w:w="2353" w:type="dxa"/>
            <w:shd w:val="clear" w:color="auto" w:fill="FFFFFF" w:themeFill="background1"/>
          </w:tcPr>
          <w:p w14:paraId="29A3004F" w14:textId="77777777" w:rsidR="00DE68EE" w:rsidRPr="009C68EB" w:rsidRDefault="00DE68EE" w:rsidP="00CA5727">
            <w:pPr>
              <w:jc w:val="both"/>
              <w:rPr>
                <w:rFonts w:ascii="Arial Narrow" w:hAnsi="Arial Narrow" w:cs="Arial"/>
                <w:b/>
                <w:sz w:val="24"/>
                <w:szCs w:val="24"/>
              </w:rPr>
            </w:pPr>
          </w:p>
        </w:tc>
      </w:tr>
      <w:tr w:rsidR="00DE68EE" w:rsidRPr="009C68EB" w14:paraId="74111E30" w14:textId="77777777" w:rsidTr="002B4A7C">
        <w:tc>
          <w:tcPr>
            <w:tcW w:w="9296" w:type="dxa"/>
            <w:shd w:val="clear" w:color="auto" w:fill="FFFFFF" w:themeFill="background1"/>
          </w:tcPr>
          <w:p w14:paraId="647E8913" w14:textId="72D63E98" w:rsidR="00825278" w:rsidRPr="00111100" w:rsidRDefault="00825278" w:rsidP="00825278">
            <w:pPr>
              <w:spacing w:after="120"/>
              <w:jc w:val="both"/>
              <w:rPr>
                <w:b/>
                <w:bCs/>
                <w:i/>
                <w:iCs/>
                <w:color w:val="000000" w:themeColor="text1"/>
              </w:rPr>
            </w:pPr>
            <w:r w:rsidRPr="00111100">
              <w:rPr>
                <w:b/>
                <w:bCs/>
                <w:color w:val="000000" w:themeColor="text1"/>
                <w:u w:val="single"/>
              </w:rPr>
              <w:lastRenderedPageBreak/>
              <w:t>First Ground of Appeal</w:t>
            </w:r>
            <w:r w:rsidRPr="00111100">
              <w:rPr>
                <w:b/>
                <w:bCs/>
                <w:color w:val="000000" w:themeColor="text1"/>
              </w:rPr>
              <w:t xml:space="preserve">: </w:t>
            </w:r>
            <w:bookmarkStart w:id="0" w:name="_Toc100248005"/>
            <w:r w:rsidR="00605471" w:rsidRPr="00111100">
              <w:rPr>
                <w:b/>
                <w:bCs/>
                <w:i/>
                <w:iCs/>
                <w:color w:val="000000" w:themeColor="text1"/>
              </w:rPr>
              <w:t>Activity in respect of which authorisation is applied for is not an exploration activity</w:t>
            </w:r>
            <w:bookmarkEnd w:id="0"/>
          </w:p>
          <w:p w14:paraId="2E63F57A" w14:textId="4220A840" w:rsidR="00941230" w:rsidRPr="00111100" w:rsidRDefault="000E2663" w:rsidP="00D35008">
            <w:pPr>
              <w:pStyle w:val="ListParagraph"/>
              <w:numPr>
                <w:ilvl w:val="0"/>
                <w:numId w:val="2"/>
              </w:numPr>
              <w:spacing w:after="120"/>
              <w:ind w:left="357" w:hanging="357"/>
              <w:contextualSpacing w:val="0"/>
              <w:jc w:val="both"/>
              <w:rPr>
                <w:color w:val="000000" w:themeColor="text1"/>
              </w:rPr>
            </w:pPr>
            <w:r w:rsidRPr="00111100">
              <w:rPr>
                <w:color w:val="000000" w:themeColor="text1"/>
              </w:rPr>
              <w:t xml:space="preserve">The appellants </w:t>
            </w:r>
            <w:r w:rsidR="00941230" w:rsidRPr="00111100">
              <w:rPr>
                <w:color w:val="000000" w:themeColor="text1"/>
              </w:rPr>
              <w:t xml:space="preserve">submit that the activities in respect of which </w:t>
            </w:r>
            <w:proofErr w:type="spellStart"/>
            <w:r w:rsidR="00941230" w:rsidRPr="00111100">
              <w:rPr>
                <w:color w:val="000000" w:themeColor="text1"/>
              </w:rPr>
              <w:t>Sezigyn</w:t>
            </w:r>
            <w:proofErr w:type="spellEnd"/>
            <w:r w:rsidR="00941230" w:rsidRPr="00111100">
              <w:rPr>
                <w:color w:val="000000" w:themeColor="text1"/>
              </w:rPr>
              <w:t xml:space="preserve"> seeks environmental authorisation do not fall within NEMA Listing Notice 2 activity 18,</w:t>
            </w:r>
            <w:r w:rsidR="00941230" w:rsidRPr="00111100">
              <w:rPr>
                <w:rStyle w:val="FootnoteReference"/>
                <w:color w:val="000000" w:themeColor="text1"/>
              </w:rPr>
              <w:footnoteReference w:id="1"/>
            </w:r>
            <w:r w:rsidR="00941230" w:rsidRPr="00111100">
              <w:rPr>
                <w:color w:val="000000" w:themeColor="text1"/>
              </w:rPr>
              <w:t xml:space="preserve"> which requires environmental authorisation for:</w:t>
            </w:r>
          </w:p>
          <w:p w14:paraId="13A03D8D" w14:textId="77777777" w:rsidR="00941230" w:rsidRPr="00111100" w:rsidRDefault="00941230" w:rsidP="00A97FEC">
            <w:pPr>
              <w:spacing w:line="240" w:lineRule="auto"/>
              <w:ind w:left="901" w:right="522"/>
              <w:jc w:val="both"/>
              <w:rPr>
                <w:color w:val="000000" w:themeColor="text1"/>
                <w:sz w:val="20"/>
                <w:szCs w:val="20"/>
              </w:rPr>
            </w:pPr>
            <w:r w:rsidRPr="00111100">
              <w:rPr>
                <w:color w:val="000000" w:themeColor="text1"/>
                <w:sz w:val="20"/>
                <w:szCs w:val="20"/>
              </w:rPr>
              <w:lastRenderedPageBreak/>
              <w:t>Any activity (including the operation of the activity) which require an exploration right as contemplated in s79 of the Mineral and Petroleum Resources Development Act,2002 (Act No. 28 of 2002) including:</w:t>
            </w:r>
          </w:p>
          <w:p w14:paraId="0565F7A2" w14:textId="023454B9" w:rsidR="00941230" w:rsidRPr="00111100" w:rsidRDefault="00941230" w:rsidP="00D35008">
            <w:pPr>
              <w:pStyle w:val="ListParagraph"/>
              <w:numPr>
                <w:ilvl w:val="0"/>
                <w:numId w:val="4"/>
              </w:numPr>
              <w:spacing w:after="60" w:line="240" w:lineRule="auto"/>
              <w:ind w:left="1468" w:right="522" w:hanging="567"/>
              <w:jc w:val="both"/>
              <w:rPr>
                <w:color w:val="000000" w:themeColor="text1"/>
                <w:sz w:val="20"/>
                <w:szCs w:val="20"/>
              </w:rPr>
            </w:pPr>
            <w:r w:rsidRPr="00111100">
              <w:rPr>
                <w:color w:val="000000" w:themeColor="text1"/>
                <w:sz w:val="20"/>
                <w:szCs w:val="20"/>
              </w:rPr>
              <w:t xml:space="preserve">associated infrastructure, </w:t>
            </w:r>
            <w:proofErr w:type="gramStart"/>
            <w:r w:rsidRPr="00111100">
              <w:rPr>
                <w:color w:val="000000" w:themeColor="text1"/>
                <w:sz w:val="20"/>
                <w:szCs w:val="20"/>
              </w:rPr>
              <w:t>structures</w:t>
            </w:r>
            <w:proofErr w:type="gramEnd"/>
            <w:r w:rsidRPr="00111100">
              <w:rPr>
                <w:color w:val="000000" w:themeColor="text1"/>
                <w:sz w:val="20"/>
                <w:szCs w:val="20"/>
              </w:rPr>
              <w:t xml:space="preserve"> and earthworks; or</w:t>
            </w:r>
          </w:p>
          <w:p w14:paraId="33D9B82D" w14:textId="3C2E576F" w:rsidR="00941230" w:rsidRDefault="00941230" w:rsidP="00D35008">
            <w:pPr>
              <w:pStyle w:val="ListParagraph"/>
              <w:numPr>
                <w:ilvl w:val="0"/>
                <w:numId w:val="4"/>
              </w:numPr>
              <w:spacing w:after="60" w:line="240" w:lineRule="auto"/>
              <w:ind w:left="1468" w:right="522" w:hanging="567"/>
              <w:jc w:val="both"/>
              <w:rPr>
                <w:color w:val="000000" w:themeColor="text1"/>
                <w:sz w:val="20"/>
                <w:szCs w:val="20"/>
              </w:rPr>
            </w:pPr>
            <w:r w:rsidRPr="00111100">
              <w:rPr>
                <w:color w:val="000000" w:themeColor="text1"/>
                <w:sz w:val="20"/>
                <w:szCs w:val="20"/>
              </w:rPr>
              <w:t xml:space="preserve">the primary processing of a petroleum resource including winning, extraction, classifying, concentrating or water removal; but excluding the secondary processing of a petroleum resource, including the </w:t>
            </w:r>
            <w:proofErr w:type="gramStart"/>
            <w:r w:rsidRPr="00111100">
              <w:rPr>
                <w:color w:val="000000" w:themeColor="text1"/>
                <w:sz w:val="20"/>
                <w:szCs w:val="20"/>
              </w:rPr>
              <w:t>beneficiation</w:t>
            </w:r>
            <w:proofErr w:type="gramEnd"/>
            <w:r w:rsidRPr="00111100">
              <w:rPr>
                <w:color w:val="000000" w:themeColor="text1"/>
                <w:sz w:val="20"/>
                <w:szCs w:val="20"/>
              </w:rPr>
              <w:t xml:space="preserve"> or refining of gas, oil, or  petroleum products in which case activity 5 in this Notice apples.</w:t>
            </w:r>
          </w:p>
          <w:p w14:paraId="1639C99F" w14:textId="77777777" w:rsidR="00985F2E" w:rsidRPr="00111100" w:rsidRDefault="00985F2E" w:rsidP="00985F2E">
            <w:pPr>
              <w:pStyle w:val="ListParagraph"/>
              <w:spacing w:after="60" w:line="240" w:lineRule="auto"/>
              <w:ind w:left="1468" w:right="522"/>
              <w:jc w:val="both"/>
              <w:rPr>
                <w:color w:val="000000" w:themeColor="text1"/>
                <w:sz w:val="20"/>
                <w:szCs w:val="20"/>
              </w:rPr>
            </w:pPr>
          </w:p>
          <w:p w14:paraId="649C1A36" w14:textId="77777777" w:rsidR="00FA41BB" w:rsidRPr="00111100" w:rsidRDefault="00FA41BB" w:rsidP="00D35008">
            <w:pPr>
              <w:pStyle w:val="ListParagraph"/>
              <w:numPr>
                <w:ilvl w:val="0"/>
                <w:numId w:val="5"/>
              </w:numPr>
              <w:spacing w:after="120"/>
              <w:jc w:val="both"/>
              <w:rPr>
                <w:vanish/>
                <w:color w:val="000000" w:themeColor="text1"/>
              </w:rPr>
            </w:pPr>
          </w:p>
          <w:p w14:paraId="33B2151D" w14:textId="77777777" w:rsidR="00FA41BB" w:rsidRPr="00111100" w:rsidRDefault="00FA41BB" w:rsidP="00D35008">
            <w:pPr>
              <w:pStyle w:val="ListParagraph"/>
              <w:numPr>
                <w:ilvl w:val="0"/>
                <w:numId w:val="5"/>
              </w:numPr>
              <w:spacing w:after="120"/>
              <w:jc w:val="both"/>
              <w:rPr>
                <w:vanish/>
                <w:color w:val="000000" w:themeColor="text1"/>
              </w:rPr>
            </w:pPr>
          </w:p>
          <w:p w14:paraId="373F90E3" w14:textId="77777777" w:rsidR="00FA41BB" w:rsidRPr="00111100" w:rsidRDefault="00FA41BB" w:rsidP="00D35008">
            <w:pPr>
              <w:pStyle w:val="ListParagraph"/>
              <w:numPr>
                <w:ilvl w:val="0"/>
                <w:numId w:val="5"/>
              </w:numPr>
              <w:spacing w:after="120"/>
              <w:jc w:val="both"/>
              <w:rPr>
                <w:vanish/>
                <w:color w:val="000000" w:themeColor="text1"/>
              </w:rPr>
            </w:pPr>
          </w:p>
          <w:p w14:paraId="2CA4AB05" w14:textId="77777777" w:rsidR="00FA41BB" w:rsidRPr="00111100" w:rsidRDefault="00FA41BB" w:rsidP="00D35008">
            <w:pPr>
              <w:pStyle w:val="ListParagraph"/>
              <w:numPr>
                <w:ilvl w:val="0"/>
                <w:numId w:val="5"/>
              </w:numPr>
              <w:spacing w:after="120"/>
              <w:jc w:val="both"/>
              <w:rPr>
                <w:vanish/>
                <w:color w:val="000000" w:themeColor="text1"/>
              </w:rPr>
            </w:pPr>
          </w:p>
          <w:p w14:paraId="27110552" w14:textId="77777777" w:rsidR="00FA41BB" w:rsidRPr="00111100" w:rsidRDefault="00FA41BB" w:rsidP="00D35008">
            <w:pPr>
              <w:pStyle w:val="ListParagraph"/>
              <w:numPr>
                <w:ilvl w:val="0"/>
                <w:numId w:val="5"/>
              </w:numPr>
              <w:spacing w:after="120"/>
              <w:jc w:val="both"/>
              <w:rPr>
                <w:vanish/>
                <w:color w:val="000000" w:themeColor="text1"/>
              </w:rPr>
            </w:pPr>
          </w:p>
          <w:p w14:paraId="2181AFF9" w14:textId="77777777" w:rsidR="00FA41BB" w:rsidRPr="00111100" w:rsidRDefault="00FA41BB" w:rsidP="00D35008">
            <w:pPr>
              <w:pStyle w:val="ListParagraph"/>
              <w:numPr>
                <w:ilvl w:val="0"/>
                <w:numId w:val="5"/>
              </w:numPr>
              <w:spacing w:after="120"/>
              <w:jc w:val="both"/>
              <w:rPr>
                <w:vanish/>
                <w:color w:val="000000" w:themeColor="text1"/>
              </w:rPr>
            </w:pPr>
          </w:p>
          <w:p w14:paraId="06DBC01D" w14:textId="77777777" w:rsidR="00FA41BB" w:rsidRPr="00111100" w:rsidRDefault="00FA41BB" w:rsidP="00D35008">
            <w:pPr>
              <w:pStyle w:val="ListParagraph"/>
              <w:numPr>
                <w:ilvl w:val="0"/>
                <w:numId w:val="5"/>
              </w:numPr>
              <w:spacing w:after="120"/>
              <w:jc w:val="both"/>
              <w:rPr>
                <w:vanish/>
                <w:color w:val="000000" w:themeColor="text1"/>
              </w:rPr>
            </w:pPr>
          </w:p>
          <w:p w14:paraId="5564D6E0" w14:textId="77777777" w:rsidR="00FA41BB" w:rsidRPr="00111100" w:rsidRDefault="00FA41BB" w:rsidP="00D35008">
            <w:pPr>
              <w:pStyle w:val="ListParagraph"/>
              <w:numPr>
                <w:ilvl w:val="0"/>
                <w:numId w:val="5"/>
              </w:numPr>
              <w:spacing w:after="120"/>
              <w:jc w:val="both"/>
              <w:rPr>
                <w:vanish/>
                <w:color w:val="000000" w:themeColor="text1"/>
              </w:rPr>
            </w:pPr>
          </w:p>
          <w:p w14:paraId="090BFCFD" w14:textId="77777777" w:rsidR="00FA41BB" w:rsidRPr="00111100" w:rsidRDefault="00FA41BB" w:rsidP="00D35008">
            <w:pPr>
              <w:pStyle w:val="ListParagraph"/>
              <w:numPr>
                <w:ilvl w:val="0"/>
                <w:numId w:val="5"/>
              </w:numPr>
              <w:spacing w:after="120"/>
              <w:jc w:val="both"/>
              <w:rPr>
                <w:vanish/>
                <w:color w:val="000000" w:themeColor="text1"/>
              </w:rPr>
            </w:pPr>
          </w:p>
          <w:p w14:paraId="792756C7" w14:textId="77777777" w:rsidR="00FA41BB" w:rsidRPr="00111100" w:rsidRDefault="00FA41BB" w:rsidP="00D35008">
            <w:pPr>
              <w:pStyle w:val="ListParagraph"/>
              <w:numPr>
                <w:ilvl w:val="0"/>
                <w:numId w:val="5"/>
              </w:numPr>
              <w:spacing w:after="120"/>
              <w:jc w:val="both"/>
              <w:rPr>
                <w:vanish/>
                <w:color w:val="000000" w:themeColor="text1"/>
              </w:rPr>
            </w:pPr>
          </w:p>
          <w:p w14:paraId="3703F187" w14:textId="5F53FC06" w:rsidR="00FA41BB" w:rsidRPr="00111100" w:rsidRDefault="00FA41BB" w:rsidP="00D35008">
            <w:pPr>
              <w:pStyle w:val="ListParagraph"/>
              <w:numPr>
                <w:ilvl w:val="0"/>
                <w:numId w:val="5"/>
              </w:numPr>
              <w:spacing w:after="120"/>
              <w:ind w:left="357" w:hanging="357"/>
              <w:jc w:val="both"/>
              <w:rPr>
                <w:color w:val="000000" w:themeColor="text1"/>
              </w:rPr>
            </w:pPr>
            <w:r w:rsidRPr="00111100">
              <w:rPr>
                <w:color w:val="000000" w:themeColor="text1"/>
              </w:rPr>
              <w:t xml:space="preserve">The appellants submit that determining whether a proposed activity falls within NEMA Listing Notice 2 activity 18 requires a consideration of what activities require an exploration right under s79 of the MPRDA. Section 79 deals with exploration right applications, while section 80 provides that the Minister responsible for mineral resources and energy must grant an exploration right if (among other things) the applicant has the financial resources and technical ability to </w:t>
            </w:r>
            <w:proofErr w:type="gramStart"/>
            <w:r w:rsidRPr="00111100">
              <w:rPr>
                <w:color w:val="000000" w:themeColor="text1"/>
              </w:rPr>
              <w:t>conducted</w:t>
            </w:r>
            <w:proofErr w:type="gramEnd"/>
            <w:r w:rsidRPr="00111100">
              <w:rPr>
                <w:color w:val="000000" w:themeColor="text1"/>
              </w:rPr>
              <w:t xml:space="preserve"> the proposed exploration operation.</w:t>
            </w:r>
          </w:p>
          <w:p w14:paraId="0729069B" w14:textId="13715AD4" w:rsidR="00FA41BB" w:rsidRPr="00111100" w:rsidRDefault="00FA41BB" w:rsidP="00D35008">
            <w:pPr>
              <w:pStyle w:val="ListParagraph"/>
              <w:numPr>
                <w:ilvl w:val="0"/>
                <w:numId w:val="5"/>
              </w:numPr>
              <w:spacing w:after="120"/>
              <w:jc w:val="both"/>
              <w:rPr>
                <w:color w:val="000000" w:themeColor="text1"/>
              </w:rPr>
            </w:pPr>
            <w:r w:rsidRPr="00111100">
              <w:rPr>
                <w:color w:val="000000" w:themeColor="text1"/>
              </w:rPr>
              <w:t>Section 1 of the MPRDA defines ‘exploration operation’ as meaning:</w:t>
            </w:r>
          </w:p>
          <w:p w14:paraId="5D794136" w14:textId="77777777" w:rsidR="005D050D" w:rsidRPr="00111100" w:rsidRDefault="005D050D" w:rsidP="005D050D">
            <w:pPr>
              <w:pStyle w:val="ListParagraph"/>
              <w:spacing w:after="120"/>
              <w:ind w:left="360"/>
              <w:jc w:val="both"/>
              <w:rPr>
                <w:color w:val="000000" w:themeColor="text1"/>
              </w:rPr>
            </w:pPr>
          </w:p>
          <w:p w14:paraId="2D439420" w14:textId="77777777" w:rsidR="00FA41BB" w:rsidRPr="00111100" w:rsidRDefault="00FA41BB" w:rsidP="005D050D">
            <w:pPr>
              <w:pStyle w:val="ListParagraph"/>
              <w:spacing w:line="240" w:lineRule="auto"/>
              <w:ind w:left="896" w:right="522"/>
              <w:rPr>
                <w:color w:val="000000" w:themeColor="text1"/>
                <w:sz w:val="20"/>
                <w:szCs w:val="20"/>
              </w:rPr>
            </w:pPr>
            <w:r w:rsidRPr="00111100">
              <w:rPr>
                <w:color w:val="000000" w:themeColor="text1"/>
                <w:sz w:val="20"/>
                <w:szCs w:val="20"/>
              </w:rPr>
              <w:t xml:space="preserve">The re-processing of existing seismic data, acquisition and processing of new seismic data or any other related activity </w:t>
            </w:r>
            <w:r w:rsidRPr="00111100">
              <w:rPr>
                <w:color w:val="000000" w:themeColor="text1"/>
                <w:sz w:val="20"/>
                <w:szCs w:val="20"/>
                <w:u w:val="single"/>
              </w:rPr>
              <w:t>to define a trap to be tested by drilling</w:t>
            </w:r>
            <w:r w:rsidRPr="00111100">
              <w:rPr>
                <w:color w:val="000000" w:themeColor="text1"/>
                <w:sz w:val="20"/>
                <w:szCs w:val="20"/>
              </w:rPr>
              <w:t xml:space="preserve">, </w:t>
            </w:r>
            <w:proofErr w:type="gramStart"/>
            <w:r w:rsidRPr="00111100">
              <w:rPr>
                <w:color w:val="000000" w:themeColor="text1"/>
                <w:sz w:val="20"/>
                <w:szCs w:val="20"/>
              </w:rPr>
              <w:t>logging</w:t>
            </w:r>
            <w:proofErr w:type="gramEnd"/>
            <w:r w:rsidRPr="00111100">
              <w:rPr>
                <w:color w:val="000000" w:themeColor="text1"/>
                <w:sz w:val="20"/>
                <w:szCs w:val="20"/>
              </w:rPr>
              <w:t xml:space="preserve"> </w:t>
            </w:r>
            <w:r w:rsidRPr="00111100">
              <w:rPr>
                <w:color w:val="000000" w:themeColor="text1"/>
                <w:sz w:val="20"/>
                <w:szCs w:val="20"/>
                <w:u w:val="single"/>
              </w:rPr>
              <w:t>and testing, including extended well testing, of a well with the intention of locating a discovery</w:t>
            </w:r>
            <w:r w:rsidRPr="00111100">
              <w:rPr>
                <w:color w:val="000000" w:themeColor="text1"/>
                <w:sz w:val="20"/>
                <w:szCs w:val="20"/>
              </w:rPr>
              <w:t>.</w:t>
            </w:r>
          </w:p>
          <w:p w14:paraId="32A5F2C4" w14:textId="77777777" w:rsidR="005D050D" w:rsidRPr="00111100" w:rsidRDefault="005D050D" w:rsidP="005D050D">
            <w:pPr>
              <w:pStyle w:val="ListParagraph"/>
              <w:spacing w:line="240" w:lineRule="auto"/>
              <w:ind w:left="896" w:right="522"/>
              <w:rPr>
                <w:color w:val="000000" w:themeColor="text1"/>
                <w:sz w:val="20"/>
                <w:szCs w:val="20"/>
              </w:rPr>
            </w:pPr>
          </w:p>
          <w:p w14:paraId="3BB34C1B" w14:textId="5400E554" w:rsidR="005D050D" w:rsidRPr="00111100" w:rsidRDefault="005D050D" w:rsidP="00D35008">
            <w:pPr>
              <w:pStyle w:val="ListParagraph"/>
              <w:numPr>
                <w:ilvl w:val="0"/>
                <w:numId w:val="5"/>
              </w:numPr>
              <w:spacing w:after="120"/>
              <w:ind w:left="357" w:hanging="357"/>
              <w:jc w:val="both"/>
              <w:rPr>
                <w:color w:val="000000" w:themeColor="text1"/>
              </w:rPr>
            </w:pPr>
            <w:r w:rsidRPr="00111100">
              <w:rPr>
                <w:color w:val="000000" w:themeColor="text1"/>
              </w:rPr>
              <w:t xml:space="preserve">An exploration operation thus necessarily includes the re-processing of existing seismic data, acquisition and processing of new seismic data or any other related activity </w:t>
            </w:r>
            <w:r w:rsidRPr="00111100">
              <w:rPr>
                <w:color w:val="000000" w:themeColor="text1"/>
                <w:u w:val="single"/>
              </w:rPr>
              <w:t xml:space="preserve">to define a trap to be tested by drilling, </w:t>
            </w:r>
            <w:proofErr w:type="gramStart"/>
            <w:r w:rsidRPr="00111100">
              <w:rPr>
                <w:color w:val="000000" w:themeColor="text1"/>
                <w:u w:val="single"/>
              </w:rPr>
              <w:t>logging</w:t>
            </w:r>
            <w:proofErr w:type="gramEnd"/>
            <w:r w:rsidRPr="00111100">
              <w:rPr>
                <w:color w:val="000000" w:themeColor="text1"/>
                <w:u w:val="single"/>
              </w:rPr>
              <w:t xml:space="preserve"> and testing, including extended well testing, of a well with the intention of locating a discovery.</w:t>
            </w:r>
          </w:p>
          <w:p w14:paraId="156050A1" w14:textId="41E82C8A" w:rsidR="005D050D" w:rsidRPr="00111100" w:rsidRDefault="005D050D" w:rsidP="005D050D">
            <w:pPr>
              <w:pStyle w:val="ListParagraph"/>
              <w:spacing w:after="120"/>
              <w:ind w:left="360"/>
              <w:jc w:val="both"/>
              <w:rPr>
                <w:color w:val="000000" w:themeColor="text1"/>
              </w:rPr>
            </w:pPr>
          </w:p>
          <w:p w14:paraId="12D96ACC" w14:textId="3A1BF062" w:rsidR="00FF5855" w:rsidRPr="00111100" w:rsidRDefault="00FF5855" w:rsidP="00D35008">
            <w:pPr>
              <w:pStyle w:val="ListParagraph"/>
              <w:numPr>
                <w:ilvl w:val="0"/>
                <w:numId w:val="5"/>
              </w:numPr>
              <w:spacing w:after="120"/>
              <w:jc w:val="both"/>
              <w:rPr>
                <w:color w:val="000000" w:themeColor="text1"/>
              </w:rPr>
            </w:pPr>
            <w:r w:rsidRPr="00111100">
              <w:rPr>
                <w:color w:val="000000" w:themeColor="text1"/>
              </w:rPr>
              <w:t>Badenhorst and Mostert point out that the definition [of ‘exploration operation’]:</w:t>
            </w:r>
          </w:p>
          <w:p w14:paraId="4FB5CD22" w14:textId="73E18FF5" w:rsidR="00FF5855" w:rsidRPr="00111100" w:rsidRDefault="00FF5855" w:rsidP="00111100">
            <w:pPr>
              <w:spacing w:line="240" w:lineRule="auto"/>
              <w:ind w:left="896" w:right="522"/>
              <w:rPr>
                <w:color w:val="000000" w:themeColor="text1"/>
              </w:rPr>
            </w:pPr>
            <w:r w:rsidRPr="00111100">
              <w:rPr>
                <w:color w:val="000000" w:themeColor="text1"/>
                <w:sz w:val="20"/>
                <w:szCs w:val="20"/>
              </w:rPr>
              <w:t xml:space="preserve">…contains four elements. First, it requires activities, including re-processing of existing seismic data, acquisition and processing of new seismic data or other related activities. Second, these activities must be conducted with the purpose of defining a trap. Third, the trap must be </w:t>
            </w:r>
            <w:r w:rsidRPr="00111100">
              <w:rPr>
                <w:color w:val="000000" w:themeColor="text1"/>
                <w:sz w:val="20"/>
                <w:szCs w:val="20"/>
              </w:rPr>
              <w:lastRenderedPageBreak/>
              <w:t xml:space="preserve">tested by drilling, </w:t>
            </w:r>
            <w:proofErr w:type="gramStart"/>
            <w:r w:rsidRPr="00111100">
              <w:rPr>
                <w:color w:val="000000" w:themeColor="text1"/>
                <w:sz w:val="20"/>
                <w:szCs w:val="20"/>
              </w:rPr>
              <w:t>logging</w:t>
            </w:r>
            <w:proofErr w:type="gramEnd"/>
            <w:r w:rsidRPr="00111100">
              <w:rPr>
                <w:color w:val="000000" w:themeColor="text1"/>
                <w:sz w:val="20"/>
                <w:szCs w:val="20"/>
              </w:rPr>
              <w:t xml:space="preserve"> and testing (including extended well testing) of a well. </w:t>
            </w:r>
            <w:proofErr w:type="gramStart"/>
            <w:r w:rsidRPr="00111100">
              <w:rPr>
                <w:color w:val="000000" w:themeColor="text1"/>
                <w:sz w:val="20"/>
                <w:szCs w:val="20"/>
              </w:rPr>
              <w:t>Finally</w:t>
            </w:r>
            <w:proofErr w:type="gramEnd"/>
            <w:r w:rsidRPr="00111100">
              <w:rPr>
                <w:color w:val="000000" w:themeColor="text1"/>
                <w:sz w:val="20"/>
                <w:szCs w:val="20"/>
              </w:rPr>
              <w:t xml:space="preserve"> such testing must be conducted with the intention of locating a discovery</w:t>
            </w:r>
            <w:r w:rsidRPr="00111100">
              <w:rPr>
                <w:color w:val="000000" w:themeColor="text1"/>
              </w:rPr>
              <w:t>.</w:t>
            </w:r>
            <w:r w:rsidRPr="00111100">
              <w:rPr>
                <w:rStyle w:val="FootnoteReference"/>
                <w:color w:val="000000" w:themeColor="text1"/>
              </w:rPr>
              <w:footnoteReference w:id="2"/>
            </w:r>
          </w:p>
          <w:p w14:paraId="2BF927E1" w14:textId="515D9346" w:rsidR="00A44421" w:rsidRPr="00D9050F" w:rsidRDefault="00A44421" w:rsidP="00D35008">
            <w:pPr>
              <w:pStyle w:val="ListParagraph"/>
              <w:numPr>
                <w:ilvl w:val="0"/>
                <w:numId w:val="5"/>
              </w:numPr>
              <w:spacing w:after="120"/>
              <w:jc w:val="both"/>
              <w:rPr>
                <w:color w:val="000000" w:themeColor="text1"/>
              </w:rPr>
            </w:pPr>
            <w:r w:rsidRPr="00D9050F">
              <w:rPr>
                <w:color w:val="000000" w:themeColor="text1"/>
              </w:rPr>
              <w:t xml:space="preserve">Given that the activities in respect of which </w:t>
            </w:r>
            <w:proofErr w:type="spellStart"/>
            <w:r w:rsidRPr="00D9050F">
              <w:rPr>
                <w:color w:val="000000" w:themeColor="text1"/>
              </w:rPr>
              <w:t>Sezigyn</w:t>
            </w:r>
            <w:proofErr w:type="spellEnd"/>
            <w:r w:rsidRPr="00D9050F">
              <w:rPr>
                <w:color w:val="000000" w:themeColor="text1"/>
              </w:rPr>
              <w:t xml:space="preserve"> seeks environmental authorisation do not include any provision for exploration drilling, logging and testing of a well with the intention of locating a discovery, it is submitted that the proposed activities do not constitute an ‘exploration operation’ as defined in the MPRDA, and as a consequence the activities as proposed by </w:t>
            </w:r>
            <w:proofErr w:type="spellStart"/>
            <w:r w:rsidRPr="00D9050F">
              <w:rPr>
                <w:color w:val="000000" w:themeColor="text1"/>
              </w:rPr>
              <w:t>Sezigyn</w:t>
            </w:r>
            <w:proofErr w:type="spellEnd"/>
            <w:r w:rsidRPr="00D9050F">
              <w:rPr>
                <w:color w:val="000000" w:themeColor="text1"/>
              </w:rPr>
              <w:t xml:space="preserve"> do not require an exploration right as contemplated in s79 of the MPRDA. It follows that the activities in respect of which environmental authorisation was sought do not trigger NEMA Listing Notice 2 activity 18</w:t>
            </w:r>
            <w:r w:rsidR="008618BD" w:rsidRPr="00D9050F">
              <w:rPr>
                <w:color w:val="000000" w:themeColor="text1"/>
              </w:rPr>
              <w:t>, and that the environmental authorisation was improperly granted</w:t>
            </w:r>
            <w:r w:rsidR="00D9050F" w:rsidRPr="00D9050F">
              <w:rPr>
                <w:color w:val="000000" w:themeColor="text1"/>
              </w:rPr>
              <w:t>.</w:t>
            </w:r>
          </w:p>
          <w:p w14:paraId="6F5126AE" w14:textId="59625239" w:rsidR="00FA41BB" w:rsidRPr="00111100" w:rsidRDefault="00FA41BB" w:rsidP="00A44421">
            <w:pPr>
              <w:pStyle w:val="ListParagraph"/>
              <w:spacing w:after="120"/>
              <w:ind w:left="360"/>
              <w:jc w:val="both"/>
              <w:rPr>
                <w:color w:val="000000" w:themeColor="text1"/>
              </w:rPr>
            </w:pPr>
          </w:p>
          <w:p w14:paraId="5E7C7FFC" w14:textId="43D449DB" w:rsidR="00A44421" w:rsidRPr="00111100" w:rsidRDefault="00A44421" w:rsidP="00D35008">
            <w:pPr>
              <w:pStyle w:val="ListParagraph"/>
              <w:numPr>
                <w:ilvl w:val="0"/>
                <w:numId w:val="5"/>
              </w:numPr>
              <w:spacing w:after="120"/>
              <w:ind w:hanging="357"/>
              <w:jc w:val="both"/>
              <w:rPr>
                <w:color w:val="000000" w:themeColor="text1"/>
              </w:rPr>
            </w:pPr>
            <w:r w:rsidRPr="00111100">
              <w:rPr>
                <w:color w:val="000000" w:themeColor="text1"/>
              </w:rPr>
              <w:t xml:space="preserve">In the absence of an intention to test a defined trap by drilling, </w:t>
            </w:r>
            <w:proofErr w:type="gramStart"/>
            <w:r w:rsidRPr="00111100">
              <w:rPr>
                <w:color w:val="000000" w:themeColor="text1"/>
              </w:rPr>
              <w:t>logging</w:t>
            </w:r>
            <w:proofErr w:type="gramEnd"/>
            <w:r w:rsidRPr="00111100">
              <w:rPr>
                <w:color w:val="000000" w:themeColor="text1"/>
              </w:rPr>
              <w:t xml:space="preserve"> and testing, including extended well testing, of a well with the intention of locating a discovery, an exploration right is not required for:</w:t>
            </w:r>
          </w:p>
          <w:p w14:paraId="6946C122" w14:textId="77777777" w:rsidR="00A44421" w:rsidRPr="00111100" w:rsidRDefault="00A44421" w:rsidP="00D35008">
            <w:pPr>
              <w:pStyle w:val="ListParagraph"/>
              <w:numPr>
                <w:ilvl w:val="0"/>
                <w:numId w:val="6"/>
              </w:numPr>
              <w:spacing w:after="120"/>
              <w:ind w:hanging="357"/>
              <w:jc w:val="both"/>
              <w:rPr>
                <w:color w:val="000000" w:themeColor="text1"/>
              </w:rPr>
            </w:pPr>
            <w:r w:rsidRPr="00111100">
              <w:rPr>
                <w:color w:val="000000" w:themeColor="text1"/>
              </w:rPr>
              <w:t xml:space="preserve">Processing and interpretation of existing 2D seismic </w:t>
            </w:r>
            <w:proofErr w:type="gramStart"/>
            <w:r w:rsidRPr="00111100">
              <w:rPr>
                <w:color w:val="000000" w:themeColor="text1"/>
              </w:rPr>
              <w:t>data;</w:t>
            </w:r>
            <w:proofErr w:type="gramEnd"/>
          </w:p>
          <w:p w14:paraId="5A6C2658" w14:textId="77777777" w:rsidR="00A44421" w:rsidRPr="00111100" w:rsidRDefault="00A44421" w:rsidP="00D35008">
            <w:pPr>
              <w:pStyle w:val="ListParagraph"/>
              <w:numPr>
                <w:ilvl w:val="0"/>
                <w:numId w:val="6"/>
              </w:numPr>
              <w:spacing w:after="120"/>
              <w:ind w:hanging="357"/>
              <w:jc w:val="both"/>
              <w:rPr>
                <w:color w:val="000000" w:themeColor="text1"/>
              </w:rPr>
            </w:pPr>
            <w:r w:rsidRPr="00111100">
              <w:rPr>
                <w:color w:val="000000" w:themeColor="text1"/>
              </w:rPr>
              <w:t xml:space="preserve">Synthesising seismic and regional gravity and magnetic </w:t>
            </w:r>
            <w:proofErr w:type="gramStart"/>
            <w:r w:rsidRPr="00111100">
              <w:rPr>
                <w:color w:val="000000" w:themeColor="text1"/>
              </w:rPr>
              <w:t>datasets;</w:t>
            </w:r>
            <w:proofErr w:type="gramEnd"/>
          </w:p>
          <w:p w14:paraId="0207D484" w14:textId="77777777" w:rsidR="00A44421" w:rsidRPr="00111100" w:rsidRDefault="00A44421" w:rsidP="00D35008">
            <w:pPr>
              <w:pStyle w:val="ListParagraph"/>
              <w:numPr>
                <w:ilvl w:val="0"/>
                <w:numId w:val="6"/>
              </w:numPr>
              <w:spacing w:after="120"/>
              <w:ind w:hanging="357"/>
              <w:jc w:val="both"/>
              <w:rPr>
                <w:color w:val="000000" w:themeColor="text1"/>
              </w:rPr>
            </w:pPr>
            <w:r w:rsidRPr="00111100">
              <w:rPr>
                <w:color w:val="000000" w:themeColor="text1"/>
              </w:rPr>
              <w:t xml:space="preserve">Undertaking petroleum system </w:t>
            </w:r>
            <w:proofErr w:type="gramStart"/>
            <w:r w:rsidRPr="00111100">
              <w:rPr>
                <w:color w:val="000000" w:themeColor="text1"/>
              </w:rPr>
              <w:t>modelling;</w:t>
            </w:r>
            <w:proofErr w:type="gramEnd"/>
          </w:p>
          <w:p w14:paraId="01707791" w14:textId="77777777" w:rsidR="00A44421" w:rsidRPr="00111100" w:rsidRDefault="00A44421" w:rsidP="00D35008">
            <w:pPr>
              <w:pStyle w:val="ListParagraph"/>
              <w:numPr>
                <w:ilvl w:val="0"/>
                <w:numId w:val="6"/>
              </w:numPr>
              <w:spacing w:after="120"/>
              <w:ind w:hanging="357"/>
              <w:jc w:val="both"/>
              <w:rPr>
                <w:color w:val="000000" w:themeColor="text1"/>
              </w:rPr>
            </w:pPr>
            <w:r w:rsidRPr="00111100">
              <w:rPr>
                <w:color w:val="000000" w:themeColor="text1"/>
              </w:rPr>
              <w:t>Upgrading the geological model based on geological and geophysical studies and interpretation; and</w:t>
            </w:r>
          </w:p>
          <w:p w14:paraId="52A79E37" w14:textId="77777777" w:rsidR="00A44421" w:rsidRDefault="00A44421" w:rsidP="00D35008">
            <w:pPr>
              <w:pStyle w:val="ListParagraph"/>
              <w:numPr>
                <w:ilvl w:val="0"/>
                <w:numId w:val="6"/>
              </w:numPr>
              <w:spacing w:after="120"/>
              <w:ind w:hanging="357"/>
              <w:jc w:val="both"/>
              <w:rPr>
                <w:color w:val="000000" w:themeColor="text1"/>
              </w:rPr>
            </w:pPr>
            <w:r w:rsidRPr="00111100">
              <w:rPr>
                <w:color w:val="000000" w:themeColor="text1"/>
              </w:rPr>
              <w:t>Identifying and ranking prospects.</w:t>
            </w:r>
          </w:p>
          <w:p w14:paraId="5B1EB7D7" w14:textId="77777777" w:rsidR="004F3827" w:rsidRDefault="004F3827" w:rsidP="004F3827">
            <w:pPr>
              <w:pStyle w:val="ListParagraph"/>
              <w:spacing w:after="120"/>
              <w:jc w:val="both"/>
              <w:rPr>
                <w:color w:val="000000" w:themeColor="text1"/>
              </w:rPr>
            </w:pPr>
          </w:p>
          <w:p w14:paraId="47D29DDF" w14:textId="66262297" w:rsidR="002C4B78" w:rsidRPr="004F3827" w:rsidRDefault="008618BD" w:rsidP="00D35008">
            <w:pPr>
              <w:pStyle w:val="ListParagraph"/>
              <w:numPr>
                <w:ilvl w:val="0"/>
                <w:numId w:val="5"/>
              </w:numPr>
              <w:spacing w:after="120"/>
              <w:jc w:val="both"/>
              <w:rPr>
                <w:color w:val="000000" w:themeColor="text1"/>
              </w:rPr>
            </w:pPr>
            <w:r>
              <w:rPr>
                <w:color w:val="000000" w:themeColor="text1"/>
              </w:rPr>
              <w:t xml:space="preserve">The granting of an exploration right to </w:t>
            </w:r>
            <w:proofErr w:type="spellStart"/>
            <w:r>
              <w:rPr>
                <w:color w:val="000000" w:themeColor="text1"/>
              </w:rPr>
              <w:t>Sezigyn</w:t>
            </w:r>
            <w:proofErr w:type="spellEnd"/>
            <w:r>
              <w:rPr>
                <w:color w:val="000000" w:themeColor="text1"/>
              </w:rPr>
              <w:t xml:space="preserve"> </w:t>
            </w:r>
            <w:r w:rsidR="00E76F94">
              <w:rPr>
                <w:color w:val="000000" w:themeColor="text1"/>
              </w:rPr>
              <w:t xml:space="preserve">for ‘desktop studies’ </w:t>
            </w:r>
            <w:r>
              <w:rPr>
                <w:color w:val="000000" w:themeColor="text1"/>
              </w:rPr>
              <w:t>is of course a separate issue, and the appellants fully reserve their rights to challenge the granting (and subsequent extension of) the exploration right in the appropriate forum.</w:t>
            </w:r>
          </w:p>
          <w:p w14:paraId="6CFE9645" w14:textId="77777777" w:rsidR="00111100" w:rsidRPr="00111100" w:rsidRDefault="00111100" w:rsidP="00111100">
            <w:pPr>
              <w:pStyle w:val="ListParagraph"/>
              <w:spacing w:after="120"/>
              <w:jc w:val="both"/>
              <w:rPr>
                <w:color w:val="000000" w:themeColor="text1"/>
              </w:rPr>
            </w:pPr>
          </w:p>
          <w:p w14:paraId="333D2FCD" w14:textId="00C56DFB" w:rsidR="00DE68EE" w:rsidRPr="00111100" w:rsidRDefault="00941230" w:rsidP="00D35008">
            <w:pPr>
              <w:pStyle w:val="ListParagraph"/>
              <w:numPr>
                <w:ilvl w:val="0"/>
                <w:numId w:val="5"/>
              </w:numPr>
              <w:spacing w:after="120"/>
              <w:contextualSpacing w:val="0"/>
              <w:jc w:val="both"/>
              <w:rPr>
                <w:color w:val="000000" w:themeColor="text1"/>
              </w:rPr>
            </w:pPr>
            <w:proofErr w:type="gramStart"/>
            <w:r w:rsidRPr="00111100">
              <w:rPr>
                <w:color w:val="000000" w:themeColor="text1"/>
              </w:rPr>
              <w:t>In light of</w:t>
            </w:r>
            <w:proofErr w:type="gramEnd"/>
            <w:r w:rsidRPr="00111100">
              <w:rPr>
                <w:color w:val="000000" w:themeColor="text1"/>
              </w:rPr>
              <w:t xml:space="preserve"> the above, the Minister is respectfully requested to exercise her powers in terms of section 43(6) of NEMA and set aside the environmental authorisation.</w:t>
            </w:r>
          </w:p>
        </w:tc>
        <w:tc>
          <w:tcPr>
            <w:tcW w:w="2542" w:type="dxa"/>
            <w:shd w:val="clear" w:color="auto" w:fill="FFFFFF" w:themeFill="background1"/>
          </w:tcPr>
          <w:p w14:paraId="4D5FAC81" w14:textId="77777777" w:rsidR="00DE68EE" w:rsidRPr="009C68EB" w:rsidRDefault="00DE68EE" w:rsidP="00CA5727">
            <w:pPr>
              <w:jc w:val="both"/>
              <w:rPr>
                <w:rFonts w:ascii="Arial Narrow" w:hAnsi="Arial Narrow" w:cs="Arial"/>
                <w:b/>
                <w:sz w:val="24"/>
                <w:szCs w:val="24"/>
              </w:rPr>
            </w:pPr>
          </w:p>
        </w:tc>
        <w:tc>
          <w:tcPr>
            <w:tcW w:w="2353" w:type="dxa"/>
            <w:shd w:val="clear" w:color="auto" w:fill="FFFFFF" w:themeFill="background1"/>
          </w:tcPr>
          <w:p w14:paraId="6A69B351" w14:textId="77777777" w:rsidR="00DE68EE" w:rsidRPr="009C68EB" w:rsidRDefault="00DE68EE" w:rsidP="00CA5727">
            <w:pPr>
              <w:jc w:val="both"/>
              <w:rPr>
                <w:rFonts w:ascii="Arial Narrow" w:hAnsi="Arial Narrow" w:cs="Arial"/>
                <w:b/>
                <w:sz w:val="24"/>
                <w:szCs w:val="24"/>
              </w:rPr>
            </w:pPr>
          </w:p>
        </w:tc>
      </w:tr>
      <w:tr w:rsidR="00DE68EE" w:rsidRPr="009C68EB" w14:paraId="18D63A61" w14:textId="77777777" w:rsidTr="002B4A7C">
        <w:tc>
          <w:tcPr>
            <w:tcW w:w="9296" w:type="dxa"/>
            <w:shd w:val="clear" w:color="auto" w:fill="FFFFFF" w:themeFill="background1"/>
          </w:tcPr>
          <w:p w14:paraId="0D5F9DCF" w14:textId="77777777" w:rsidR="00DE68EE" w:rsidRDefault="00F37819" w:rsidP="00F37819">
            <w:pPr>
              <w:spacing w:after="120"/>
              <w:jc w:val="both"/>
              <w:rPr>
                <w:b/>
                <w:bCs/>
                <w:i/>
                <w:iCs/>
              </w:rPr>
            </w:pPr>
            <w:r>
              <w:rPr>
                <w:b/>
                <w:bCs/>
                <w:u w:val="single"/>
              </w:rPr>
              <w:lastRenderedPageBreak/>
              <w:t>Second</w:t>
            </w:r>
            <w:r w:rsidRPr="007B4880">
              <w:rPr>
                <w:b/>
                <w:bCs/>
                <w:u w:val="single"/>
              </w:rPr>
              <w:t xml:space="preserve"> Ground of Appeal</w:t>
            </w:r>
            <w:r w:rsidRPr="007B4880">
              <w:rPr>
                <w:b/>
                <w:bCs/>
              </w:rPr>
              <w:t xml:space="preserve">: </w:t>
            </w:r>
            <w:r w:rsidRPr="00F37819">
              <w:rPr>
                <w:b/>
                <w:bCs/>
                <w:i/>
                <w:iCs/>
              </w:rPr>
              <w:t>EIA process was procedurally irregular and fatally flawed</w:t>
            </w:r>
          </w:p>
          <w:p w14:paraId="31485C0A" w14:textId="4127DC21" w:rsidR="00F37819" w:rsidRDefault="00FD526E" w:rsidP="00D35008">
            <w:pPr>
              <w:pStyle w:val="ListParagraph"/>
              <w:numPr>
                <w:ilvl w:val="0"/>
                <w:numId w:val="5"/>
              </w:numPr>
              <w:spacing w:after="120"/>
              <w:jc w:val="both"/>
            </w:pPr>
            <w:r>
              <w:t xml:space="preserve">The appellants note that in </w:t>
            </w:r>
            <w:r w:rsidR="00812EB9">
              <w:t xml:space="preserve">paragraph 3 of </w:t>
            </w:r>
            <w:r>
              <w:t>the DDG’s reasons for decision</w:t>
            </w:r>
            <w:r w:rsidR="00F4425E">
              <w:t xml:space="preserve"> (Appendix 1 to the environmental authorisation), </w:t>
            </w:r>
            <w:r w:rsidR="00B7724C">
              <w:t>it is indicated that the results of the FSR [final scoping report] were that no environmental or social impacts associated with proposed desktop studies were identified or anticipated.</w:t>
            </w:r>
          </w:p>
          <w:p w14:paraId="4BB431C3" w14:textId="4E8F0D30" w:rsidR="00B7724C" w:rsidRDefault="00B7724C" w:rsidP="00D35008">
            <w:pPr>
              <w:pStyle w:val="ListParagraph"/>
              <w:numPr>
                <w:ilvl w:val="0"/>
                <w:numId w:val="5"/>
              </w:numPr>
              <w:spacing w:after="120"/>
              <w:jc w:val="both"/>
            </w:pPr>
            <w:proofErr w:type="gramStart"/>
            <w:r>
              <w:t>As a consequence</w:t>
            </w:r>
            <w:proofErr w:type="gramEnd"/>
            <w:r>
              <w:t>, the EAP [environmental assessment practitioner] “</w:t>
            </w:r>
            <w:r w:rsidRPr="003759E0">
              <w:rPr>
                <w:i/>
                <w:iCs/>
              </w:rPr>
              <w:t>recommended that the Impact Assessment Phase be waived, as it is not possible to give effect to the objectives of the environmental impact assessment phase as prescribed in appendix 3 of the EIA Regulations, 2014</w:t>
            </w:r>
            <w:r>
              <w:t>”.</w:t>
            </w:r>
          </w:p>
          <w:p w14:paraId="28078E26" w14:textId="77777777" w:rsidR="003759E0" w:rsidRDefault="00B7724C" w:rsidP="00D35008">
            <w:pPr>
              <w:pStyle w:val="ListParagraph"/>
              <w:numPr>
                <w:ilvl w:val="0"/>
                <w:numId w:val="5"/>
              </w:numPr>
              <w:spacing w:after="120"/>
              <w:jc w:val="both"/>
            </w:pPr>
            <w:r>
              <w:t xml:space="preserve">It is indicated further that </w:t>
            </w:r>
            <w:r w:rsidR="001C7E85">
              <w:t>it was also the</w:t>
            </w:r>
            <w:r>
              <w:t xml:space="preserve"> Agency’s view (it is </w:t>
            </w:r>
            <w:proofErr w:type="spellStart"/>
            <w:r>
              <w:t>assmed</w:t>
            </w:r>
            <w:proofErr w:type="spellEnd"/>
            <w:r>
              <w:t xml:space="preserve"> that </w:t>
            </w:r>
            <w:r w:rsidR="00DF2C8C">
              <w:t xml:space="preserve">this is a reference to the Petroleum Agency of South Africa </w:t>
            </w:r>
            <w:r w:rsidR="001C7E85">
              <w:t>(</w:t>
            </w:r>
            <w:r w:rsidR="00DF2C8C">
              <w:t>’PASA’)</w:t>
            </w:r>
            <w:r w:rsidR="001C7E85">
              <w:t>)</w:t>
            </w:r>
            <w:r w:rsidR="00DF2C8C">
              <w:t xml:space="preserve"> </w:t>
            </w:r>
            <w:r w:rsidR="001C7E85">
              <w:t>“</w:t>
            </w:r>
            <w:r w:rsidR="001C7E85" w:rsidRPr="003759E0">
              <w:rPr>
                <w:i/>
                <w:iCs/>
              </w:rPr>
              <w:t>based on the assessment carried out that proceeding to the next stage of environmental impact assessment would add no value to the EIA process and in the achievement of the envisioned objectives of the EIA process which are to ensure that environmental facto</w:t>
            </w:r>
            <w:r w:rsidR="003759E0" w:rsidRPr="003759E0">
              <w:rPr>
                <w:i/>
                <w:iCs/>
              </w:rPr>
              <w:t>r</w:t>
            </w:r>
            <w:r w:rsidR="001C7E85" w:rsidRPr="003759E0">
              <w:rPr>
                <w:i/>
                <w:iCs/>
              </w:rPr>
              <w:t xml:space="preserve">s are considered in the decision making process, potential adverse environmental impacts are identified and avoided or minimised and interested and affected parties are informed of the environmental </w:t>
            </w:r>
            <w:r w:rsidR="003759E0" w:rsidRPr="003759E0">
              <w:rPr>
                <w:i/>
                <w:iCs/>
              </w:rPr>
              <w:t>consequences</w:t>
            </w:r>
            <w:r w:rsidR="003759E0">
              <w:t xml:space="preserve">”. </w:t>
            </w:r>
          </w:p>
          <w:p w14:paraId="6A4D398E" w14:textId="5A905CBE" w:rsidR="00B7724C" w:rsidRDefault="003759E0" w:rsidP="00D35008">
            <w:pPr>
              <w:pStyle w:val="ListParagraph"/>
              <w:numPr>
                <w:ilvl w:val="0"/>
                <w:numId w:val="5"/>
              </w:numPr>
              <w:spacing w:after="120"/>
              <w:jc w:val="both"/>
            </w:pPr>
            <w:r>
              <w:t>The reasons for decision go on in paragraph 3 to state that “</w:t>
            </w:r>
            <w:r w:rsidRPr="003759E0">
              <w:rPr>
                <w:i/>
                <w:iCs/>
              </w:rPr>
              <w:t xml:space="preserve">Considering the aforementioned factors, read with section 24O of NEMA concerning factors to be taken into account by the competent authorities, it is clear that the EIA Regulatory framework was </w:t>
            </w:r>
            <w:proofErr w:type="spellStart"/>
            <w:r w:rsidRPr="003759E0">
              <w:rPr>
                <w:i/>
                <w:iCs/>
              </w:rPr>
              <w:t>soley</w:t>
            </w:r>
            <w:proofErr w:type="spellEnd"/>
            <w:r w:rsidRPr="003759E0">
              <w:rPr>
                <w:i/>
                <w:iCs/>
              </w:rPr>
              <w:t xml:space="preserve"> designed for invasive operations and hence it is infeasible to apply it to the proposed desktop exploration activities</w:t>
            </w:r>
            <w:r>
              <w:t>”.</w:t>
            </w:r>
          </w:p>
          <w:p w14:paraId="1A35C625" w14:textId="281DD0C8" w:rsidR="003759E0" w:rsidRPr="00C9550E" w:rsidRDefault="00C9550E" w:rsidP="00D35008">
            <w:pPr>
              <w:pStyle w:val="ListParagraph"/>
              <w:numPr>
                <w:ilvl w:val="0"/>
                <w:numId w:val="5"/>
              </w:numPr>
              <w:spacing w:after="120"/>
              <w:jc w:val="both"/>
            </w:pPr>
            <w:r>
              <w:t xml:space="preserve">In its </w:t>
            </w:r>
            <w:r>
              <w:rPr>
                <w:i/>
                <w:iCs/>
              </w:rPr>
              <w:t xml:space="preserve">Key factors considered in making decision, </w:t>
            </w:r>
            <w:r>
              <w:t xml:space="preserve">the DDG indicates at paragraph 4.2 that the public consultation process undertaken by the EAP included informing the general public of the proposed project through newspaper </w:t>
            </w:r>
            <w:proofErr w:type="gramStart"/>
            <w:r>
              <w:t>advertisements, and</w:t>
            </w:r>
            <w:proofErr w:type="gramEnd"/>
            <w:r>
              <w:t xml:space="preserve"> subjecting the draft scoping report to a 30 day commenting period, and was </w:t>
            </w:r>
            <w:r w:rsidRPr="00C9550E">
              <w:rPr>
                <w:i/>
                <w:iCs/>
              </w:rPr>
              <w:t>“found satisfactory considering the nature of the proposed desktop exploration activities”.</w:t>
            </w:r>
            <w:r>
              <w:rPr>
                <w:i/>
                <w:iCs/>
              </w:rPr>
              <w:t xml:space="preserve"> </w:t>
            </w:r>
          </w:p>
          <w:p w14:paraId="7A180908" w14:textId="77777777" w:rsidR="00D44B12" w:rsidRDefault="00CE4332" w:rsidP="00D35008">
            <w:pPr>
              <w:pStyle w:val="ListParagraph"/>
              <w:numPr>
                <w:ilvl w:val="0"/>
                <w:numId w:val="5"/>
              </w:numPr>
              <w:spacing w:after="120"/>
              <w:jc w:val="both"/>
            </w:pPr>
            <w:r>
              <w:t xml:space="preserve">It is evident from the environmental </w:t>
            </w:r>
            <w:proofErr w:type="spellStart"/>
            <w:r>
              <w:t>authorisastion</w:t>
            </w:r>
            <w:proofErr w:type="spellEnd"/>
            <w:r>
              <w:t xml:space="preserve"> and reasons for decision that the DDG accepted the EAP’s recommendation that </w:t>
            </w:r>
            <w:r w:rsidR="000E3754">
              <w:t xml:space="preserve">the Impact Assessment Phase be waived, as well as PASA’s view that the next stage in the environmental impact assessment </w:t>
            </w:r>
            <w:r w:rsidR="000E3C83">
              <w:t xml:space="preserve">process would add no value to the EIA process. </w:t>
            </w:r>
          </w:p>
          <w:p w14:paraId="4EEEEB2B" w14:textId="50D9B54D" w:rsidR="00F37819" w:rsidRDefault="009D7738" w:rsidP="00D35008">
            <w:pPr>
              <w:pStyle w:val="ListParagraph"/>
              <w:numPr>
                <w:ilvl w:val="0"/>
                <w:numId w:val="5"/>
              </w:numPr>
              <w:spacing w:after="120"/>
              <w:jc w:val="both"/>
            </w:pPr>
            <w:r>
              <w:lastRenderedPageBreak/>
              <w:t>However, in the event that the DDG was of the view that NEMA Listing Notice 2 activity 18 was triggered by the ‘proposed desktop exploration activities’ (which the appellants dispute, see Ground of Appeal 1 above)</w:t>
            </w:r>
            <w:r w:rsidR="002E18C9">
              <w:t xml:space="preserve">, </w:t>
            </w:r>
            <w:r w:rsidR="003768D4">
              <w:t xml:space="preserve">the </w:t>
            </w:r>
            <w:r w:rsidR="00D830E2">
              <w:t xml:space="preserve">competent authority </w:t>
            </w:r>
            <w:r w:rsidR="00D830E2">
              <w:rPr>
                <w:u w:val="single"/>
              </w:rPr>
              <w:t>must</w:t>
            </w:r>
            <w:r w:rsidR="00D830E2">
              <w:t xml:space="preserve"> either accept the scoping report (with or without conditions) and advise the applicant </w:t>
            </w:r>
            <w:r w:rsidR="00BA3D1C" w:rsidRPr="00BA3D1C">
              <w:t>to proceed or continue with the tasks contemplated in the plan of study for environmental impact assessment</w:t>
            </w:r>
            <w:r w:rsidR="00BA3D1C">
              <w:t xml:space="preserve">, or must refuse the environmental authorisation (see regulation 22). The EIA Regulations do not empower the DDG (as the competent authority) to </w:t>
            </w:r>
            <w:proofErr w:type="spellStart"/>
            <w:r w:rsidR="00BA3D1C">
              <w:t>tranucate</w:t>
            </w:r>
            <w:proofErr w:type="spellEnd"/>
            <w:r w:rsidR="00BA3D1C">
              <w:t xml:space="preserve"> or short-circuit the EIA process </w:t>
            </w:r>
            <w:r w:rsidR="001F5CEF">
              <w:t>by waiving the impact assessment phase of the EIA</w:t>
            </w:r>
            <w:r w:rsidR="005F5E9B">
              <w:t xml:space="preserve"> (</w:t>
            </w:r>
            <w:r w:rsidR="00686EC4">
              <w:t>which necessarily also prevented the public from commenting on any draft Environmental Impact Assessment report</w:t>
            </w:r>
            <w:r w:rsidR="005F5E9B">
              <w:t>, rendering the EIA process procedurally unfair)</w:t>
            </w:r>
            <w:r w:rsidR="001F5CEF">
              <w:t>.</w:t>
            </w:r>
            <w:r w:rsidR="005F5E9B">
              <w:t xml:space="preserve"> </w:t>
            </w:r>
            <w:r w:rsidR="001F5CEF">
              <w:t xml:space="preserve">In doing so, </w:t>
            </w:r>
            <w:r w:rsidR="00772119">
              <w:t>and in the absence of a</w:t>
            </w:r>
            <w:r w:rsidR="00460C12">
              <w:t xml:space="preserve"> lawful</w:t>
            </w:r>
            <w:r w:rsidR="00772119">
              <w:t xml:space="preserve"> exemption by the Minister responsible for mineral </w:t>
            </w:r>
            <w:r w:rsidR="005F5E9B">
              <w:t>resources and energy</w:t>
            </w:r>
            <w:r w:rsidR="00253B42">
              <w:t xml:space="preserve">, </w:t>
            </w:r>
            <w:r w:rsidR="001F5CEF">
              <w:t xml:space="preserve">the DDG acted </w:t>
            </w:r>
            <w:r w:rsidR="001F5CEF">
              <w:rPr>
                <w:i/>
                <w:iCs/>
              </w:rPr>
              <w:t>ultra vires</w:t>
            </w:r>
            <w:r w:rsidR="001F5CEF">
              <w:t xml:space="preserve"> the provisions of EIA Regulations</w:t>
            </w:r>
            <w:r w:rsidR="004B3165">
              <w:t xml:space="preserve">, </w:t>
            </w:r>
            <w:r w:rsidR="00D35008">
              <w:t xml:space="preserve">and </w:t>
            </w:r>
            <w:r w:rsidR="004B3165">
              <w:t xml:space="preserve">the decision on authorisation was procedurally unfair and fatally </w:t>
            </w:r>
            <w:proofErr w:type="gramStart"/>
            <w:r w:rsidR="004B3165">
              <w:t>flawed, and</w:t>
            </w:r>
            <w:proofErr w:type="gramEnd"/>
            <w:r w:rsidR="004B3165">
              <w:t xml:space="preserve"> falls to be set aside on Appeal. </w:t>
            </w:r>
          </w:p>
          <w:p w14:paraId="3AD33BE3" w14:textId="02DE6740" w:rsidR="00F37819" w:rsidRPr="00825278" w:rsidRDefault="00D44B12" w:rsidP="00D35008">
            <w:pPr>
              <w:pStyle w:val="ListParagraph"/>
              <w:numPr>
                <w:ilvl w:val="0"/>
                <w:numId w:val="5"/>
              </w:numPr>
              <w:spacing w:after="120"/>
              <w:jc w:val="both"/>
            </w:pPr>
            <w:proofErr w:type="gramStart"/>
            <w:r>
              <w:t>In light of</w:t>
            </w:r>
            <w:proofErr w:type="gramEnd"/>
            <w:r>
              <w:t xml:space="preserve"> the above, </w:t>
            </w:r>
            <w:r w:rsidRPr="00D44B12">
              <w:rPr>
                <w:color w:val="000000" w:themeColor="text1"/>
              </w:rPr>
              <w:t>the Minister is respectfully requested to exercise her powers in terms of section 43(6) of NEMA and set aside the environmental authorisation.</w:t>
            </w:r>
          </w:p>
        </w:tc>
        <w:tc>
          <w:tcPr>
            <w:tcW w:w="2542" w:type="dxa"/>
            <w:shd w:val="clear" w:color="auto" w:fill="FFFFFF" w:themeFill="background1"/>
          </w:tcPr>
          <w:p w14:paraId="54AD4596" w14:textId="77777777" w:rsidR="00DE68EE" w:rsidRPr="009C68EB" w:rsidRDefault="00DE68EE" w:rsidP="00CA5727">
            <w:pPr>
              <w:jc w:val="both"/>
              <w:rPr>
                <w:rFonts w:ascii="Arial Narrow" w:hAnsi="Arial Narrow" w:cs="Arial"/>
                <w:b/>
                <w:sz w:val="24"/>
                <w:szCs w:val="24"/>
              </w:rPr>
            </w:pPr>
          </w:p>
        </w:tc>
        <w:tc>
          <w:tcPr>
            <w:tcW w:w="2353" w:type="dxa"/>
            <w:shd w:val="clear" w:color="auto" w:fill="FFFFFF" w:themeFill="background1"/>
          </w:tcPr>
          <w:p w14:paraId="16536855" w14:textId="77777777" w:rsidR="00DE68EE" w:rsidRPr="009C68EB" w:rsidRDefault="00DE68EE" w:rsidP="00CA5727">
            <w:pPr>
              <w:jc w:val="both"/>
              <w:rPr>
                <w:rFonts w:ascii="Arial Narrow" w:hAnsi="Arial Narrow" w:cs="Arial"/>
                <w:b/>
                <w:sz w:val="24"/>
                <w:szCs w:val="24"/>
              </w:rPr>
            </w:pPr>
          </w:p>
        </w:tc>
      </w:tr>
      <w:tr w:rsidR="00804EFD" w:rsidRPr="009C68EB" w14:paraId="639E442A" w14:textId="77777777" w:rsidTr="002B4A7C">
        <w:trPr>
          <w:trHeight w:val="280"/>
        </w:trPr>
        <w:tc>
          <w:tcPr>
            <w:tcW w:w="9296" w:type="dxa"/>
            <w:shd w:val="clear" w:color="auto" w:fill="FFFFFF" w:themeFill="background1"/>
          </w:tcPr>
          <w:p w14:paraId="05620032" w14:textId="77777777" w:rsidR="00825278" w:rsidRPr="007B4880" w:rsidRDefault="00825278" w:rsidP="00825278">
            <w:pPr>
              <w:spacing w:after="120"/>
              <w:jc w:val="both"/>
            </w:pPr>
            <w:r w:rsidRPr="007B4880">
              <w:rPr>
                <w:b/>
                <w:bCs/>
                <w:u w:val="single"/>
              </w:rPr>
              <w:t>CONCLUSION</w:t>
            </w:r>
          </w:p>
          <w:p w14:paraId="1BAE3803" w14:textId="01BB2335" w:rsidR="00825278" w:rsidRPr="007B4880" w:rsidRDefault="00825278" w:rsidP="00D35008">
            <w:pPr>
              <w:pStyle w:val="ListParagraph"/>
              <w:numPr>
                <w:ilvl w:val="0"/>
                <w:numId w:val="5"/>
              </w:numPr>
              <w:spacing w:after="120"/>
              <w:jc w:val="both"/>
            </w:pPr>
            <w:r w:rsidRPr="007B4880">
              <w:t xml:space="preserve">The </w:t>
            </w:r>
            <w:r w:rsidR="003D20CC">
              <w:t>a</w:t>
            </w:r>
            <w:r w:rsidRPr="007B4880">
              <w:t xml:space="preserve">ppellants have sent out in this appeal </w:t>
            </w:r>
            <w:r w:rsidR="00D44B12">
              <w:t xml:space="preserve">the </w:t>
            </w:r>
            <w:r w:rsidRPr="007B4880">
              <w:t xml:space="preserve">grounds on which the decision to grant environmental authorisation to </w:t>
            </w:r>
            <w:proofErr w:type="spellStart"/>
            <w:r w:rsidR="003D20CC">
              <w:t>Sezigyn</w:t>
            </w:r>
            <w:proofErr w:type="spellEnd"/>
            <w:r w:rsidRPr="007B4880">
              <w:t xml:space="preserve"> was fatally flawed.  The decision to authorise the project is consequently unlawful, in that it failed to comply with, </w:t>
            </w:r>
            <w:r w:rsidRPr="0075390F">
              <w:rPr>
                <w:i/>
                <w:iCs/>
              </w:rPr>
              <w:t>inter alia</w:t>
            </w:r>
            <w:r w:rsidRPr="007B4880">
              <w:t>, the Constitution and NEMA.</w:t>
            </w:r>
          </w:p>
          <w:p w14:paraId="234F1ACF" w14:textId="65B0558A" w:rsidR="00804EFD" w:rsidRPr="00825278" w:rsidRDefault="00825278" w:rsidP="00D35008">
            <w:pPr>
              <w:pStyle w:val="ListParagraph"/>
              <w:numPr>
                <w:ilvl w:val="0"/>
                <w:numId w:val="5"/>
              </w:numPr>
              <w:spacing w:after="120"/>
              <w:jc w:val="both"/>
            </w:pPr>
            <w:r w:rsidRPr="007B4880">
              <w:t>For all the reasons set out in this appeal, Natural Justice</w:t>
            </w:r>
            <w:r>
              <w:t xml:space="preserve"> and the Green Connection </w:t>
            </w:r>
            <w:r w:rsidRPr="007B4880">
              <w:t xml:space="preserve">submit that the appeal should succeed and that the environmental authorisation granted to </w:t>
            </w:r>
            <w:proofErr w:type="spellStart"/>
            <w:r w:rsidR="003D20CC">
              <w:t>Sezigyn</w:t>
            </w:r>
            <w:proofErr w:type="spellEnd"/>
            <w:r w:rsidRPr="007B4880">
              <w:t xml:space="preserve"> by the </w:t>
            </w:r>
            <w:r w:rsidR="003D20CC">
              <w:t xml:space="preserve">Deputy </w:t>
            </w:r>
            <w:r w:rsidRPr="007B4880">
              <w:t xml:space="preserve">Director General should be </w:t>
            </w:r>
            <w:r w:rsidR="002A6833">
              <w:t>set aside.</w:t>
            </w:r>
            <w:r w:rsidRPr="007B4880">
              <w:t xml:space="preserve"> </w:t>
            </w:r>
          </w:p>
        </w:tc>
        <w:tc>
          <w:tcPr>
            <w:tcW w:w="2542" w:type="dxa"/>
            <w:shd w:val="clear" w:color="auto" w:fill="FFFFFF" w:themeFill="background1"/>
          </w:tcPr>
          <w:p w14:paraId="2CC43970" w14:textId="77777777" w:rsidR="00804EFD" w:rsidRPr="009C68EB" w:rsidRDefault="00804EFD" w:rsidP="00CA5727">
            <w:pPr>
              <w:jc w:val="both"/>
              <w:rPr>
                <w:rFonts w:ascii="Arial Narrow" w:hAnsi="Arial Narrow" w:cs="Arial"/>
                <w:b/>
                <w:sz w:val="24"/>
                <w:szCs w:val="24"/>
              </w:rPr>
            </w:pPr>
          </w:p>
        </w:tc>
        <w:tc>
          <w:tcPr>
            <w:tcW w:w="2353" w:type="dxa"/>
            <w:shd w:val="clear" w:color="auto" w:fill="FFFFFF" w:themeFill="background1"/>
          </w:tcPr>
          <w:p w14:paraId="7EDC470A" w14:textId="77777777" w:rsidR="00804EFD" w:rsidRPr="009C68EB" w:rsidRDefault="00804EFD" w:rsidP="00CA5727">
            <w:pPr>
              <w:jc w:val="both"/>
              <w:rPr>
                <w:rFonts w:ascii="Arial Narrow" w:hAnsi="Arial Narrow" w:cs="Arial"/>
                <w:b/>
                <w:sz w:val="24"/>
                <w:szCs w:val="24"/>
              </w:rPr>
            </w:pPr>
          </w:p>
        </w:tc>
      </w:tr>
    </w:tbl>
    <w:p w14:paraId="49A9F113" w14:textId="77777777" w:rsidR="00542F57" w:rsidRPr="009C68EB" w:rsidRDefault="00542F57" w:rsidP="00542F57">
      <w:pPr>
        <w:jc w:val="both"/>
        <w:rPr>
          <w:rFonts w:ascii="Arial Narrow" w:hAnsi="Arial Narrow"/>
          <w:i/>
          <w:iCs/>
          <w:sz w:val="24"/>
          <w:szCs w:val="24"/>
          <w:lang w:eastAsia="en-ZA"/>
        </w:rPr>
      </w:pPr>
    </w:p>
    <w:p w14:paraId="17923C5F" w14:textId="77777777" w:rsidR="006A75F3" w:rsidRPr="009C68EB" w:rsidRDefault="006A75F3" w:rsidP="006A75F3">
      <w:pPr>
        <w:jc w:val="both"/>
        <w:rPr>
          <w:rFonts w:ascii="Arial Narrow" w:hAnsi="Arial Narrow" w:cs="Arial"/>
          <w:sz w:val="24"/>
          <w:szCs w:val="24"/>
        </w:rPr>
      </w:pPr>
    </w:p>
    <w:p w14:paraId="3394F2D2" w14:textId="77777777" w:rsidR="002854D5" w:rsidRPr="00674F88" w:rsidRDefault="002854D5" w:rsidP="002854D5">
      <w:pPr>
        <w:tabs>
          <w:tab w:val="left" w:pos="1837"/>
        </w:tabs>
        <w:spacing w:line="600" w:lineRule="auto"/>
        <w:rPr>
          <w:rFonts w:ascii="Arial Narrow" w:hAnsi="Arial Narrow" w:cs="Arial"/>
          <w:b/>
          <w:sz w:val="24"/>
          <w:szCs w:val="24"/>
        </w:rPr>
      </w:pPr>
      <w:r w:rsidRPr="00674F88">
        <w:rPr>
          <w:rFonts w:ascii="Arial Narrow" w:hAnsi="Arial Narrow" w:cs="Arial"/>
          <w:b/>
          <w:sz w:val="24"/>
          <w:szCs w:val="24"/>
        </w:rPr>
        <w:t>ARR comme</w:t>
      </w:r>
      <w:r>
        <w:rPr>
          <w:rFonts w:ascii="Arial Narrow" w:hAnsi="Arial Narrow" w:cs="Arial"/>
          <w:b/>
          <w:sz w:val="24"/>
          <w:szCs w:val="24"/>
        </w:rPr>
        <w:t>nts by Case O</w:t>
      </w:r>
      <w:r w:rsidRPr="00674F88">
        <w:rPr>
          <w:rFonts w:ascii="Arial Narrow" w:hAnsi="Arial Narrow" w:cs="Arial"/>
          <w:b/>
          <w:sz w:val="24"/>
          <w:szCs w:val="24"/>
        </w:rPr>
        <w:t>fficer</w:t>
      </w:r>
      <w:r w:rsidRPr="00674F88">
        <w:rPr>
          <w:rFonts w:ascii="Arial Narrow" w:hAnsi="Arial Narrow" w:cs="Arial"/>
          <w:b/>
          <w:sz w:val="24"/>
          <w:szCs w:val="24"/>
        </w:rPr>
        <w:tab/>
      </w:r>
      <w:r w:rsidRPr="00674F88">
        <w:rPr>
          <w:rFonts w:ascii="Arial Narrow" w:hAnsi="Arial Narrow" w:cs="Arial"/>
          <w:b/>
          <w:sz w:val="24"/>
          <w:szCs w:val="24"/>
        </w:rPr>
        <w:tab/>
      </w:r>
      <w:r w:rsidRPr="00674F88">
        <w:rPr>
          <w:rFonts w:ascii="Arial Narrow" w:hAnsi="Arial Narrow" w:cs="Arial"/>
          <w:b/>
          <w:sz w:val="24"/>
          <w:szCs w:val="24"/>
        </w:rPr>
        <w:tab/>
      </w:r>
      <w:r w:rsidRPr="00674F88">
        <w:rPr>
          <w:rFonts w:ascii="Arial Narrow" w:hAnsi="Arial Narrow" w:cs="Arial"/>
          <w:b/>
          <w:sz w:val="24"/>
          <w:szCs w:val="24"/>
        </w:rPr>
        <w:tab/>
      </w:r>
      <w:r w:rsidRPr="00674F88">
        <w:rPr>
          <w:rFonts w:ascii="Arial Narrow" w:hAnsi="Arial Narrow" w:cs="Arial"/>
          <w:b/>
          <w:sz w:val="24"/>
          <w:szCs w:val="24"/>
        </w:rPr>
        <w:tab/>
      </w:r>
      <w:r w:rsidRPr="00674F88">
        <w:rPr>
          <w:rFonts w:ascii="Arial Narrow" w:hAnsi="Arial Narrow" w:cs="Arial"/>
          <w:b/>
          <w:sz w:val="24"/>
          <w:szCs w:val="24"/>
        </w:rPr>
        <w:tab/>
      </w:r>
      <w:r>
        <w:rPr>
          <w:rFonts w:ascii="Arial Narrow" w:hAnsi="Arial Narrow" w:cs="Arial"/>
          <w:b/>
          <w:sz w:val="24"/>
          <w:szCs w:val="24"/>
        </w:rPr>
        <w:tab/>
      </w:r>
      <w:r w:rsidRPr="00674F88">
        <w:rPr>
          <w:rFonts w:ascii="Arial Narrow" w:hAnsi="Arial Narrow" w:cs="Arial"/>
          <w:b/>
          <w:sz w:val="24"/>
          <w:szCs w:val="24"/>
        </w:rPr>
        <w:t xml:space="preserve">Approved by </w:t>
      </w:r>
      <w:proofErr w:type="spellStart"/>
      <w:r w:rsidRPr="00674F88">
        <w:rPr>
          <w:rFonts w:ascii="Arial Narrow" w:hAnsi="Arial Narrow" w:cs="Arial"/>
          <w:b/>
          <w:sz w:val="24"/>
          <w:szCs w:val="24"/>
        </w:rPr>
        <w:t>Supervior</w:t>
      </w:r>
      <w:proofErr w:type="spellEnd"/>
      <w:r w:rsidRPr="00674F88">
        <w:rPr>
          <w:rFonts w:ascii="Arial Narrow" w:hAnsi="Arial Narrow" w:cs="Arial"/>
          <w:b/>
          <w:sz w:val="24"/>
          <w:szCs w:val="24"/>
        </w:rPr>
        <w:tab/>
      </w:r>
    </w:p>
    <w:p w14:paraId="743440B2" w14:textId="77777777" w:rsidR="002854D5" w:rsidRDefault="002854D5" w:rsidP="002854D5">
      <w:pPr>
        <w:tabs>
          <w:tab w:val="left" w:pos="1837"/>
        </w:tabs>
        <w:spacing w:line="600" w:lineRule="auto"/>
        <w:rPr>
          <w:rFonts w:ascii="Arial Narrow" w:hAnsi="Arial Narrow" w:cs="Arial"/>
          <w:sz w:val="24"/>
          <w:szCs w:val="24"/>
        </w:rPr>
      </w:pPr>
      <w:r>
        <w:rPr>
          <w:rFonts w:ascii="Arial Narrow" w:hAnsi="Arial Narrow" w:cs="Arial"/>
          <w:sz w:val="24"/>
          <w:szCs w:val="24"/>
        </w:rPr>
        <w:lastRenderedPageBreak/>
        <w:t>Name &amp; Surname:</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674F88">
        <w:rPr>
          <w:rFonts w:ascii="Arial Narrow" w:hAnsi="Arial Narrow" w:cs="Arial"/>
          <w:sz w:val="24"/>
          <w:szCs w:val="24"/>
        </w:rPr>
        <w:t>Name &amp; Surname:</w:t>
      </w:r>
    </w:p>
    <w:p w14:paraId="13A2E7C6" w14:textId="77777777" w:rsidR="002854D5" w:rsidRDefault="002854D5" w:rsidP="002854D5">
      <w:pPr>
        <w:tabs>
          <w:tab w:val="left" w:pos="1837"/>
        </w:tabs>
        <w:spacing w:line="600" w:lineRule="auto"/>
        <w:rPr>
          <w:rFonts w:ascii="Arial Narrow" w:hAnsi="Arial Narrow" w:cs="Arial"/>
          <w:sz w:val="24"/>
          <w:szCs w:val="24"/>
        </w:rPr>
      </w:pPr>
      <w:r>
        <w:rPr>
          <w:rFonts w:ascii="Arial Narrow" w:hAnsi="Arial Narrow" w:cs="Arial"/>
          <w:sz w:val="24"/>
          <w:szCs w:val="24"/>
        </w:rPr>
        <w:t>Date:</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Date:</w:t>
      </w:r>
    </w:p>
    <w:p w14:paraId="6BA25B30" w14:textId="77777777" w:rsidR="002854D5" w:rsidRDefault="002854D5" w:rsidP="002854D5">
      <w:pPr>
        <w:tabs>
          <w:tab w:val="left" w:pos="1837"/>
        </w:tabs>
        <w:spacing w:line="600" w:lineRule="auto"/>
        <w:rPr>
          <w:rFonts w:ascii="Arial Narrow" w:hAnsi="Arial Narrow" w:cs="Arial"/>
          <w:sz w:val="24"/>
          <w:szCs w:val="24"/>
        </w:rPr>
      </w:pPr>
      <w:r>
        <w:rPr>
          <w:rFonts w:ascii="Arial Narrow" w:hAnsi="Arial Narrow" w:cs="Arial"/>
          <w:sz w:val="24"/>
          <w:szCs w:val="24"/>
        </w:rPr>
        <w:t>Signature:</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Signature:</w:t>
      </w:r>
    </w:p>
    <w:p w14:paraId="4E912C7C" w14:textId="77777777" w:rsidR="002854D5" w:rsidRDefault="002854D5" w:rsidP="002854D5">
      <w:pPr>
        <w:tabs>
          <w:tab w:val="left" w:pos="1837"/>
        </w:tabs>
        <w:spacing w:line="600" w:lineRule="auto"/>
        <w:rPr>
          <w:rFonts w:ascii="Arial Narrow" w:hAnsi="Arial Narrow" w:cs="Arial"/>
          <w:sz w:val="24"/>
          <w:szCs w:val="24"/>
        </w:rPr>
      </w:pPr>
      <w:r>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w:t>
      </w:r>
    </w:p>
    <w:p w14:paraId="32646831" w14:textId="77777777" w:rsidR="002854D5" w:rsidRPr="00D94348" w:rsidRDefault="002854D5" w:rsidP="002854D5">
      <w:pPr>
        <w:pStyle w:val="EndnoteText"/>
        <w:rPr>
          <w:rFonts w:ascii="Arial Narrow" w:hAnsi="Arial Narrow"/>
          <w:sz w:val="20"/>
          <w:szCs w:val="20"/>
        </w:rPr>
      </w:pPr>
    </w:p>
    <w:p w14:paraId="6FD132A0" w14:textId="77777777" w:rsidR="00677D33" w:rsidRDefault="00677D33" w:rsidP="00B34F2E">
      <w:pPr>
        <w:pStyle w:val="Default"/>
        <w:rPr>
          <w:rFonts w:ascii="Arial Narrow" w:hAnsi="Arial Narrow"/>
          <w:b/>
          <w:highlight w:val="yellow"/>
        </w:rPr>
      </w:pPr>
    </w:p>
    <w:p w14:paraId="47901CD6" w14:textId="63731AF3" w:rsidR="00677D33" w:rsidRPr="00D94348" w:rsidRDefault="00677D33" w:rsidP="00677D33">
      <w:pPr>
        <w:pStyle w:val="Default"/>
        <w:adjustRightInd/>
        <w:rPr>
          <w:rFonts w:ascii="Calibri" w:eastAsia="Times New Roman" w:hAnsi="Calibri" w:cs="Calibri"/>
          <w:b/>
          <w:color w:val="auto"/>
          <w:sz w:val="22"/>
          <w:szCs w:val="22"/>
          <w:lang w:val="en-ZA"/>
        </w:rPr>
      </w:pPr>
    </w:p>
    <w:p w14:paraId="7EAF0931" w14:textId="77777777" w:rsidR="00674F88" w:rsidRPr="009C68EB" w:rsidRDefault="00674F88" w:rsidP="00674F88">
      <w:pPr>
        <w:tabs>
          <w:tab w:val="left" w:pos="1837"/>
        </w:tabs>
        <w:spacing w:line="600" w:lineRule="auto"/>
        <w:rPr>
          <w:rFonts w:ascii="Arial Narrow" w:hAnsi="Arial Narrow" w:cs="Arial"/>
          <w:sz w:val="24"/>
          <w:szCs w:val="24"/>
        </w:rPr>
      </w:pPr>
    </w:p>
    <w:sectPr w:rsidR="00674F88" w:rsidRPr="009C68EB" w:rsidSect="00785EEA">
      <w:footerReference w:type="defaul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AA40" w14:textId="77777777" w:rsidR="00B778EF" w:rsidRDefault="00B778EF" w:rsidP="003B38FD">
      <w:pPr>
        <w:spacing w:after="0" w:line="240" w:lineRule="auto"/>
      </w:pPr>
      <w:r>
        <w:separator/>
      </w:r>
    </w:p>
  </w:endnote>
  <w:endnote w:type="continuationSeparator" w:id="0">
    <w:p w14:paraId="16E02B5D" w14:textId="77777777" w:rsidR="00B778EF" w:rsidRDefault="00B778EF" w:rsidP="003B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E6C0" w14:textId="5DC2D5CE" w:rsidR="00A70F64" w:rsidRDefault="00A75303" w:rsidP="00674F88">
    <w:pPr>
      <w:pStyle w:val="Footer"/>
      <w:tabs>
        <w:tab w:val="clear" w:pos="4513"/>
        <w:tab w:val="clear" w:pos="9026"/>
        <w:tab w:val="left" w:pos="12240"/>
      </w:tabs>
    </w:pPr>
    <w:sdt>
      <w:sdtPr>
        <w:id w:val="1233575016"/>
        <w:docPartObj>
          <w:docPartGallery w:val="Page Numbers (Bottom of Page)"/>
          <w:docPartUnique/>
        </w:docPartObj>
      </w:sdtPr>
      <w:sdtEndPr>
        <w:rPr>
          <w:noProof/>
        </w:rPr>
      </w:sdtEndPr>
      <w:sdtContent>
        <w:r w:rsidR="00A70F64">
          <w:fldChar w:fldCharType="begin"/>
        </w:r>
        <w:r w:rsidR="00A70F64">
          <w:instrText xml:space="preserve"> PAGE   \* MERGEFORMAT </w:instrText>
        </w:r>
        <w:r w:rsidR="00A70F64">
          <w:fldChar w:fldCharType="separate"/>
        </w:r>
        <w:r w:rsidR="0089478C">
          <w:rPr>
            <w:noProof/>
          </w:rPr>
          <w:t>242</w:t>
        </w:r>
        <w:r w:rsidR="00A70F64">
          <w:rPr>
            <w:noProof/>
          </w:rPr>
          <w:fldChar w:fldCharType="end"/>
        </w:r>
      </w:sdtContent>
    </w:sdt>
    <w:r w:rsidR="00A70F64">
      <w:rPr>
        <w:noProof/>
      </w:rPr>
      <w:t xml:space="preserve">                                                                                                                                                                                                                                     Initial/s:</w:t>
    </w:r>
    <w:r w:rsidR="004E0BE5">
      <w:rPr>
        <w:noProof/>
      </w:rPr>
      <w:t xml:space="preserve"> MAG</w:t>
    </w:r>
  </w:p>
  <w:p w14:paraId="63A71B01" w14:textId="77777777" w:rsidR="00A70F64" w:rsidRDefault="00A70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372E" w14:textId="77777777" w:rsidR="00B778EF" w:rsidRDefault="00B778EF" w:rsidP="003B38FD">
      <w:pPr>
        <w:spacing w:after="0" w:line="240" w:lineRule="auto"/>
      </w:pPr>
      <w:r>
        <w:separator/>
      </w:r>
    </w:p>
  </w:footnote>
  <w:footnote w:type="continuationSeparator" w:id="0">
    <w:p w14:paraId="3146E380" w14:textId="77777777" w:rsidR="00B778EF" w:rsidRDefault="00B778EF" w:rsidP="003B38FD">
      <w:pPr>
        <w:spacing w:after="0" w:line="240" w:lineRule="auto"/>
      </w:pPr>
      <w:r>
        <w:continuationSeparator/>
      </w:r>
    </w:p>
  </w:footnote>
  <w:footnote w:id="1">
    <w:p w14:paraId="427B6446" w14:textId="77777777" w:rsidR="00941230" w:rsidRPr="00451813" w:rsidRDefault="00941230" w:rsidP="00941230">
      <w:pPr>
        <w:pStyle w:val="FootnoteText"/>
        <w:rPr>
          <w:color w:val="000000" w:themeColor="text1"/>
        </w:rPr>
      </w:pPr>
      <w:r w:rsidRPr="00451813">
        <w:rPr>
          <w:rStyle w:val="FootnoteReference"/>
          <w:color w:val="000000" w:themeColor="text1"/>
        </w:rPr>
        <w:footnoteRef/>
      </w:r>
      <w:r w:rsidRPr="00451813">
        <w:rPr>
          <w:color w:val="000000" w:themeColor="text1"/>
        </w:rPr>
        <w:t xml:space="preserve"> GNR.984 of 4 December 2014.</w:t>
      </w:r>
    </w:p>
  </w:footnote>
  <w:footnote w:id="2">
    <w:p w14:paraId="0C8B6E1E" w14:textId="77777777" w:rsidR="00FF5855" w:rsidRPr="00451813" w:rsidRDefault="00FF5855" w:rsidP="00FF5855">
      <w:pPr>
        <w:pStyle w:val="FootnoteText"/>
        <w:rPr>
          <w:color w:val="000000" w:themeColor="text1"/>
        </w:rPr>
      </w:pPr>
      <w:r w:rsidRPr="00451813">
        <w:rPr>
          <w:rStyle w:val="FootnoteReference"/>
          <w:color w:val="000000" w:themeColor="text1"/>
        </w:rPr>
        <w:footnoteRef/>
      </w:r>
      <w:r w:rsidRPr="00451813">
        <w:rPr>
          <w:color w:val="000000" w:themeColor="text1"/>
        </w:rPr>
        <w:t xml:space="preserve"> Mineral &amp; Petroleum Law of South Africa (Juta), at p19-20.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6"/>
    <w:lvl w:ilvl="0">
      <w:start w:val="1"/>
      <w:numFmt w:val="decimal"/>
      <w:lvlText w:val="%1."/>
      <w:lvlJc w:val="left"/>
      <w:pPr>
        <w:tabs>
          <w:tab w:val="num" w:pos="720"/>
        </w:tabs>
        <w:ind w:left="720" w:hanging="360"/>
      </w:pPr>
    </w:lvl>
  </w:abstractNum>
  <w:abstractNum w:abstractNumId="1" w15:restartNumberingAfterBreak="0">
    <w:nsid w:val="15D71FB1"/>
    <w:multiLevelType w:val="hybridMultilevel"/>
    <w:tmpl w:val="F2148F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836F6"/>
    <w:multiLevelType w:val="hybridMultilevel"/>
    <w:tmpl w:val="F2148F94"/>
    <w:lvl w:ilvl="0" w:tplc="8A7637C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F70206"/>
    <w:multiLevelType w:val="hybridMultilevel"/>
    <w:tmpl w:val="3CFE3E4A"/>
    <w:lvl w:ilvl="0" w:tplc="0A0015E6">
      <w:start w:val="1"/>
      <w:numFmt w:val="upperLetter"/>
      <w:pStyle w:val="Heading1"/>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B4211DA"/>
    <w:multiLevelType w:val="multilevel"/>
    <w:tmpl w:val="C8562D9E"/>
    <w:lvl w:ilvl="0">
      <w:start w:val="22"/>
      <w:numFmt w:val="bullet"/>
      <w:lvlText w:val="-"/>
      <w:lvlJc w:val="left"/>
      <w:pPr>
        <w:ind w:left="360" w:hanging="360"/>
      </w:pPr>
      <w:rPr>
        <w:rFonts w:ascii="Calibri" w:eastAsiaTheme="minorHAnsi" w:hAnsi="Calibri" w:cs="Calibri"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43B3A"/>
    <w:multiLevelType w:val="multilevel"/>
    <w:tmpl w:val="674C38E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F05B1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353329">
    <w:abstractNumId w:val="3"/>
  </w:num>
  <w:num w:numId="2" w16cid:durableId="702170361">
    <w:abstractNumId w:val="5"/>
  </w:num>
  <w:num w:numId="3" w16cid:durableId="2077318929">
    <w:abstractNumId w:val="4"/>
  </w:num>
  <w:num w:numId="4" w16cid:durableId="1794591810">
    <w:abstractNumId w:val="2"/>
  </w:num>
  <w:num w:numId="5" w16cid:durableId="92480269">
    <w:abstractNumId w:val="6"/>
  </w:num>
  <w:num w:numId="6" w16cid:durableId="22217786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AE"/>
    <w:rsid w:val="00004854"/>
    <w:rsid w:val="0000798A"/>
    <w:rsid w:val="0001186D"/>
    <w:rsid w:val="0002443E"/>
    <w:rsid w:val="00026C73"/>
    <w:rsid w:val="0005277F"/>
    <w:rsid w:val="00054A35"/>
    <w:rsid w:val="000558EE"/>
    <w:rsid w:val="00057817"/>
    <w:rsid w:val="000661AD"/>
    <w:rsid w:val="0006664D"/>
    <w:rsid w:val="00070E8F"/>
    <w:rsid w:val="00074D53"/>
    <w:rsid w:val="000826D4"/>
    <w:rsid w:val="0008510E"/>
    <w:rsid w:val="000932CD"/>
    <w:rsid w:val="000A5F65"/>
    <w:rsid w:val="000B131D"/>
    <w:rsid w:val="000B4DAE"/>
    <w:rsid w:val="000B5D26"/>
    <w:rsid w:val="000C453C"/>
    <w:rsid w:val="000D3EA8"/>
    <w:rsid w:val="000E2663"/>
    <w:rsid w:val="000E3754"/>
    <w:rsid w:val="000E3C83"/>
    <w:rsid w:val="000F3019"/>
    <w:rsid w:val="000F6FDD"/>
    <w:rsid w:val="000F7967"/>
    <w:rsid w:val="00102A67"/>
    <w:rsid w:val="0010684E"/>
    <w:rsid w:val="00111100"/>
    <w:rsid w:val="001113C7"/>
    <w:rsid w:val="00114D47"/>
    <w:rsid w:val="001158EA"/>
    <w:rsid w:val="00124B05"/>
    <w:rsid w:val="00125304"/>
    <w:rsid w:val="001330EE"/>
    <w:rsid w:val="00144097"/>
    <w:rsid w:val="00153949"/>
    <w:rsid w:val="001632FE"/>
    <w:rsid w:val="001771E0"/>
    <w:rsid w:val="0019486F"/>
    <w:rsid w:val="001A0CAF"/>
    <w:rsid w:val="001C207F"/>
    <w:rsid w:val="001C2F61"/>
    <w:rsid w:val="001C73AF"/>
    <w:rsid w:val="001C7E85"/>
    <w:rsid w:val="001D5214"/>
    <w:rsid w:val="001F5532"/>
    <w:rsid w:val="001F5CEF"/>
    <w:rsid w:val="00204427"/>
    <w:rsid w:val="00204709"/>
    <w:rsid w:val="0021456C"/>
    <w:rsid w:val="002215AC"/>
    <w:rsid w:val="00222B4C"/>
    <w:rsid w:val="00225F03"/>
    <w:rsid w:val="00232256"/>
    <w:rsid w:val="002379F1"/>
    <w:rsid w:val="00241263"/>
    <w:rsid w:val="00253B42"/>
    <w:rsid w:val="00257D48"/>
    <w:rsid w:val="002609C7"/>
    <w:rsid w:val="002753DF"/>
    <w:rsid w:val="00281D12"/>
    <w:rsid w:val="002854D5"/>
    <w:rsid w:val="00295119"/>
    <w:rsid w:val="002A5D95"/>
    <w:rsid w:val="002A6833"/>
    <w:rsid w:val="002B4A7C"/>
    <w:rsid w:val="002C4B78"/>
    <w:rsid w:val="002D2D08"/>
    <w:rsid w:val="002E18C9"/>
    <w:rsid w:val="002F1323"/>
    <w:rsid w:val="002F32F4"/>
    <w:rsid w:val="002F3DA8"/>
    <w:rsid w:val="002F4E87"/>
    <w:rsid w:val="00303B87"/>
    <w:rsid w:val="0030643F"/>
    <w:rsid w:val="003229CF"/>
    <w:rsid w:val="00325172"/>
    <w:rsid w:val="00331FC9"/>
    <w:rsid w:val="00340AB8"/>
    <w:rsid w:val="00341438"/>
    <w:rsid w:val="00342F7C"/>
    <w:rsid w:val="003435BF"/>
    <w:rsid w:val="003550F6"/>
    <w:rsid w:val="00364ACA"/>
    <w:rsid w:val="003759E0"/>
    <w:rsid w:val="003768D4"/>
    <w:rsid w:val="00385626"/>
    <w:rsid w:val="00385C58"/>
    <w:rsid w:val="00387542"/>
    <w:rsid w:val="00390EC1"/>
    <w:rsid w:val="003B38FD"/>
    <w:rsid w:val="003D20CC"/>
    <w:rsid w:val="003D59C5"/>
    <w:rsid w:val="003E79E2"/>
    <w:rsid w:val="0040578B"/>
    <w:rsid w:val="00417A7B"/>
    <w:rsid w:val="0042186F"/>
    <w:rsid w:val="00430704"/>
    <w:rsid w:val="0043072A"/>
    <w:rsid w:val="0043584D"/>
    <w:rsid w:val="004406D3"/>
    <w:rsid w:val="00442E28"/>
    <w:rsid w:val="00444E6C"/>
    <w:rsid w:val="00455A9F"/>
    <w:rsid w:val="00460C12"/>
    <w:rsid w:val="0046377F"/>
    <w:rsid w:val="004810BC"/>
    <w:rsid w:val="004B3165"/>
    <w:rsid w:val="004B4C5F"/>
    <w:rsid w:val="004C0FA8"/>
    <w:rsid w:val="004D1B8C"/>
    <w:rsid w:val="004D258A"/>
    <w:rsid w:val="004E0BE5"/>
    <w:rsid w:val="004E486F"/>
    <w:rsid w:val="004E6A31"/>
    <w:rsid w:val="004F3827"/>
    <w:rsid w:val="00506983"/>
    <w:rsid w:val="005134FA"/>
    <w:rsid w:val="00527261"/>
    <w:rsid w:val="005422AE"/>
    <w:rsid w:val="00542F57"/>
    <w:rsid w:val="00545BB7"/>
    <w:rsid w:val="005531D8"/>
    <w:rsid w:val="00555F8B"/>
    <w:rsid w:val="00567C9A"/>
    <w:rsid w:val="0057466B"/>
    <w:rsid w:val="0058747A"/>
    <w:rsid w:val="005968B3"/>
    <w:rsid w:val="005A5D1B"/>
    <w:rsid w:val="005B2F26"/>
    <w:rsid w:val="005B6311"/>
    <w:rsid w:val="005C3C37"/>
    <w:rsid w:val="005C40F4"/>
    <w:rsid w:val="005C66C1"/>
    <w:rsid w:val="005D050D"/>
    <w:rsid w:val="005D1C0E"/>
    <w:rsid w:val="005D3212"/>
    <w:rsid w:val="005D506C"/>
    <w:rsid w:val="005E3F54"/>
    <w:rsid w:val="005F01F3"/>
    <w:rsid w:val="005F5E9B"/>
    <w:rsid w:val="0060292F"/>
    <w:rsid w:val="00603458"/>
    <w:rsid w:val="00605471"/>
    <w:rsid w:val="006211EF"/>
    <w:rsid w:val="0062409B"/>
    <w:rsid w:val="00630BF4"/>
    <w:rsid w:val="006410E2"/>
    <w:rsid w:val="0064147C"/>
    <w:rsid w:val="0064197B"/>
    <w:rsid w:val="00642589"/>
    <w:rsid w:val="00645638"/>
    <w:rsid w:val="0066258B"/>
    <w:rsid w:val="006633E4"/>
    <w:rsid w:val="006642F5"/>
    <w:rsid w:val="00667F82"/>
    <w:rsid w:val="00670684"/>
    <w:rsid w:val="00674F88"/>
    <w:rsid w:val="0067790E"/>
    <w:rsid w:val="00677D33"/>
    <w:rsid w:val="00683C28"/>
    <w:rsid w:val="00686EC4"/>
    <w:rsid w:val="00690D49"/>
    <w:rsid w:val="006935CA"/>
    <w:rsid w:val="00694A41"/>
    <w:rsid w:val="00694E12"/>
    <w:rsid w:val="006A4384"/>
    <w:rsid w:val="006A75F3"/>
    <w:rsid w:val="006B7EFD"/>
    <w:rsid w:val="006C2034"/>
    <w:rsid w:val="006D2BDF"/>
    <w:rsid w:val="006E7B29"/>
    <w:rsid w:val="006F2896"/>
    <w:rsid w:val="00703B11"/>
    <w:rsid w:val="00703F39"/>
    <w:rsid w:val="0071077F"/>
    <w:rsid w:val="007133BB"/>
    <w:rsid w:val="00715478"/>
    <w:rsid w:val="007159DB"/>
    <w:rsid w:val="00721E3E"/>
    <w:rsid w:val="00722FCC"/>
    <w:rsid w:val="00737D43"/>
    <w:rsid w:val="0075390F"/>
    <w:rsid w:val="00771B64"/>
    <w:rsid w:val="00772119"/>
    <w:rsid w:val="007746BB"/>
    <w:rsid w:val="00783723"/>
    <w:rsid w:val="00785EEA"/>
    <w:rsid w:val="0079427A"/>
    <w:rsid w:val="00795B32"/>
    <w:rsid w:val="007A77C5"/>
    <w:rsid w:val="007B40B1"/>
    <w:rsid w:val="007B58BC"/>
    <w:rsid w:val="007C1B14"/>
    <w:rsid w:val="007D714D"/>
    <w:rsid w:val="007D71DC"/>
    <w:rsid w:val="007D7508"/>
    <w:rsid w:val="007E22B8"/>
    <w:rsid w:val="007E6B1D"/>
    <w:rsid w:val="008033B7"/>
    <w:rsid w:val="00804EFD"/>
    <w:rsid w:val="00805F10"/>
    <w:rsid w:val="00812EB9"/>
    <w:rsid w:val="00825278"/>
    <w:rsid w:val="00851C91"/>
    <w:rsid w:val="008618BD"/>
    <w:rsid w:val="00861F3E"/>
    <w:rsid w:val="0088302C"/>
    <w:rsid w:val="00884159"/>
    <w:rsid w:val="0089478C"/>
    <w:rsid w:val="008A7FF3"/>
    <w:rsid w:val="008B1CCF"/>
    <w:rsid w:val="008B5754"/>
    <w:rsid w:val="008C2CA2"/>
    <w:rsid w:val="008C3277"/>
    <w:rsid w:val="008D1E1B"/>
    <w:rsid w:val="008D6085"/>
    <w:rsid w:val="008E60E5"/>
    <w:rsid w:val="008E7CE9"/>
    <w:rsid w:val="008F6F0B"/>
    <w:rsid w:val="009145E9"/>
    <w:rsid w:val="00923EC4"/>
    <w:rsid w:val="00924696"/>
    <w:rsid w:val="00926E65"/>
    <w:rsid w:val="00936D07"/>
    <w:rsid w:val="00941230"/>
    <w:rsid w:val="0095014F"/>
    <w:rsid w:val="009510B2"/>
    <w:rsid w:val="00954605"/>
    <w:rsid w:val="0095585D"/>
    <w:rsid w:val="0095741A"/>
    <w:rsid w:val="00960958"/>
    <w:rsid w:val="0097606A"/>
    <w:rsid w:val="00985F2E"/>
    <w:rsid w:val="009A0B5C"/>
    <w:rsid w:val="009B7B9E"/>
    <w:rsid w:val="009B7BCB"/>
    <w:rsid w:val="009C5899"/>
    <w:rsid w:val="009C68EB"/>
    <w:rsid w:val="009D7738"/>
    <w:rsid w:val="009E6174"/>
    <w:rsid w:val="00A009DF"/>
    <w:rsid w:val="00A061CC"/>
    <w:rsid w:val="00A0767A"/>
    <w:rsid w:val="00A07F46"/>
    <w:rsid w:val="00A1120C"/>
    <w:rsid w:val="00A172CA"/>
    <w:rsid w:val="00A23BBC"/>
    <w:rsid w:val="00A34289"/>
    <w:rsid w:val="00A3696B"/>
    <w:rsid w:val="00A44421"/>
    <w:rsid w:val="00A51B2D"/>
    <w:rsid w:val="00A521F9"/>
    <w:rsid w:val="00A67E97"/>
    <w:rsid w:val="00A70F64"/>
    <w:rsid w:val="00A75303"/>
    <w:rsid w:val="00A803F9"/>
    <w:rsid w:val="00A92A4A"/>
    <w:rsid w:val="00A97FEC"/>
    <w:rsid w:val="00AA36A0"/>
    <w:rsid w:val="00AA6002"/>
    <w:rsid w:val="00AB4532"/>
    <w:rsid w:val="00AB5707"/>
    <w:rsid w:val="00AB6736"/>
    <w:rsid w:val="00AD5884"/>
    <w:rsid w:val="00AE0E4B"/>
    <w:rsid w:val="00AF3CAB"/>
    <w:rsid w:val="00AF4DD2"/>
    <w:rsid w:val="00AF6E67"/>
    <w:rsid w:val="00B26C8F"/>
    <w:rsid w:val="00B31362"/>
    <w:rsid w:val="00B31445"/>
    <w:rsid w:val="00B31778"/>
    <w:rsid w:val="00B333B4"/>
    <w:rsid w:val="00B33958"/>
    <w:rsid w:val="00B34F2E"/>
    <w:rsid w:val="00B36B71"/>
    <w:rsid w:val="00B42B7C"/>
    <w:rsid w:val="00B42C94"/>
    <w:rsid w:val="00B518F5"/>
    <w:rsid w:val="00B61853"/>
    <w:rsid w:val="00B7724C"/>
    <w:rsid w:val="00B778EF"/>
    <w:rsid w:val="00B81FAC"/>
    <w:rsid w:val="00B847EA"/>
    <w:rsid w:val="00B9343C"/>
    <w:rsid w:val="00BA3D1C"/>
    <w:rsid w:val="00BA5BC0"/>
    <w:rsid w:val="00BA7268"/>
    <w:rsid w:val="00BC3376"/>
    <w:rsid w:val="00BC47A0"/>
    <w:rsid w:val="00BC7A5B"/>
    <w:rsid w:val="00BD2982"/>
    <w:rsid w:val="00BE2623"/>
    <w:rsid w:val="00BE2697"/>
    <w:rsid w:val="00BE56F7"/>
    <w:rsid w:val="00BE6265"/>
    <w:rsid w:val="00C1245A"/>
    <w:rsid w:val="00C45A82"/>
    <w:rsid w:val="00C517D5"/>
    <w:rsid w:val="00C53C6C"/>
    <w:rsid w:val="00C6191A"/>
    <w:rsid w:val="00C72972"/>
    <w:rsid w:val="00C73AF0"/>
    <w:rsid w:val="00C757A2"/>
    <w:rsid w:val="00C84549"/>
    <w:rsid w:val="00C91C3E"/>
    <w:rsid w:val="00C92A85"/>
    <w:rsid w:val="00C9550E"/>
    <w:rsid w:val="00CA5727"/>
    <w:rsid w:val="00CA5EF3"/>
    <w:rsid w:val="00CD1127"/>
    <w:rsid w:val="00CE4332"/>
    <w:rsid w:val="00CF3B64"/>
    <w:rsid w:val="00D12F94"/>
    <w:rsid w:val="00D31A00"/>
    <w:rsid w:val="00D35008"/>
    <w:rsid w:val="00D35C75"/>
    <w:rsid w:val="00D44B12"/>
    <w:rsid w:val="00D57851"/>
    <w:rsid w:val="00D830E2"/>
    <w:rsid w:val="00D833EC"/>
    <w:rsid w:val="00D83611"/>
    <w:rsid w:val="00D9050F"/>
    <w:rsid w:val="00D91A49"/>
    <w:rsid w:val="00DA5CE8"/>
    <w:rsid w:val="00DB685E"/>
    <w:rsid w:val="00DC33D5"/>
    <w:rsid w:val="00DC51AB"/>
    <w:rsid w:val="00DD4BBE"/>
    <w:rsid w:val="00DD6A1A"/>
    <w:rsid w:val="00DD6E91"/>
    <w:rsid w:val="00DE68EE"/>
    <w:rsid w:val="00DF2C8C"/>
    <w:rsid w:val="00DF2EE4"/>
    <w:rsid w:val="00DF71B9"/>
    <w:rsid w:val="00E03237"/>
    <w:rsid w:val="00E14B37"/>
    <w:rsid w:val="00E14BA3"/>
    <w:rsid w:val="00E3103A"/>
    <w:rsid w:val="00E355AC"/>
    <w:rsid w:val="00E36C75"/>
    <w:rsid w:val="00E41FE7"/>
    <w:rsid w:val="00E52FC9"/>
    <w:rsid w:val="00E62DDC"/>
    <w:rsid w:val="00E6564B"/>
    <w:rsid w:val="00E70877"/>
    <w:rsid w:val="00E76093"/>
    <w:rsid w:val="00E76F94"/>
    <w:rsid w:val="00E77477"/>
    <w:rsid w:val="00E83924"/>
    <w:rsid w:val="00E96E8F"/>
    <w:rsid w:val="00EB4F27"/>
    <w:rsid w:val="00EC5FB7"/>
    <w:rsid w:val="00ED0EAD"/>
    <w:rsid w:val="00ED483F"/>
    <w:rsid w:val="00ED4CFC"/>
    <w:rsid w:val="00F009C5"/>
    <w:rsid w:val="00F01774"/>
    <w:rsid w:val="00F068CF"/>
    <w:rsid w:val="00F11129"/>
    <w:rsid w:val="00F136B8"/>
    <w:rsid w:val="00F2555E"/>
    <w:rsid w:val="00F25D2A"/>
    <w:rsid w:val="00F323AA"/>
    <w:rsid w:val="00F37819"/>
    <w:rsid w:val="00F438D1"/>
    <w:rsid w:val="00F4425E"/>
    <w:rsid w:val="00F4554E"/>
    <w:rsid w:val="00F508BD"/>
    <w:rsid w:val="00F51FAD"/>
    <w:rsid w:val="00F57CA0"/>
    <w:rsid w:val="00F6181C"/>
    <w:rsid w:val="00F67FA7"/>
    <w:rsid w:val="00F771C1"/>
    <w:rsid w:val="00FA41BB"/>
    <w:rsid w:val="00FB09D6"/>
    <w:rsid w:val="00FB73D6"/>
    <w:rsid w:val="00FC7A90"/>
    <w:rsid w:val="00FD526E"/>
    <w:rsid w:val="00FD566B"/>
    <w:rsid w:val="00FE1387"/>
    <w:rsid w:val="00FE6D82"/>
    <w:rsid w:val="00FF239A"/>
    <w:rsid w:val="00FF494E"/>
    <w:rsid w:val="00FF58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F7D3C"/>
  <w15:docId w15:val="{24B51BF4-9C4A-49E1-A3E5-EA731590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19"/>
  </w:style>
  <w:style w:type="paragraph" w:styleId="Heading1">
    <w:name w:val="heading 1"/>
    <w:basedOn w:val="Normal"/>
    <w:next w:val="Normal"/>
    <w:link w:val="Heading1Char"/>
    <w:uiPriority w:val="9"/>
    <w:qFormat/>
    <w:rsid w:val="00EB4F27"/>
    <w:pPr>
      <w:keepNext/>
      <w:keepLines/>
      <w:numPr>
        <w:numId w:val="1"/>
      </w:numPr>
      <w:spacing w:before="240" w:after="0"/>
      <w:ind w:left="567" w:hanging="567"/>
      <w:outlineLvl w:val="0"/>
    </w:pPr>
    <w:rPr>
      <w:rFonts w:eastAsiaTheme="majorEastAsia" w:cstheme="minorHAnsi"/>
      <w:b/>
      <w:bCs/>
      <w:color w:val="000000" w:themeColor="text1"/>
      <w:sz w:val="24"/>
      <w:szCs w:val="24"/>
    </w:rPr>
  </w:style>
  <w:style w:type="paragraph" w:styleId="Heading2">
    <w:name w:val="heading 2"/>
    <w:basedOn w:val="Normal"/>
    <w:next w:val="Normal"/>
    <w:link w:val="Heading2Char"/>
    <w:uiPriority w:val="9"/>
    <w:unhideWhenUsed/>
    <w:qFormat/>
    <w:rsid w:val="00EB4F27"/>
    <w:pPr>
      <w:spacing w:after="120" w:line="240" w:lineRule="auto"/>
      <w:contextualSpacing/>
      <w:jc w:val="both"/>
      <w:outlineLvl w:val="1"/>
    </w:pPr>
    <w:rPr>
      <w:b/>
      <w:bCs/>
      <w:color w:val="000000" w:themeColor="text1"/>
      <w:sz w:val="24"/>
      <w:szCs w:val="24"/>
      <w:lang w:bidi="he-IL"/>
    </w:rPr>
  </w:style>
  <w:style w:type="paragraph" w:styleId="Heading3">
    <w:name w:val="heading 3"/>
    <w:basedOn w:val="Normal"/>
    <w:next w:val="Normal"/>
    <w:link w:val="Heading3Char"/>
    <w:uiPriority w:val="9"/>
    <w:unhideWhenUsed/>
    <w:qFormat/>
    <w:rsid w:val="00EB4F27"/>
    <w:pPr>
      <w:keepNext/>
      <w:keepLines/>
      <w:spacing w:before="40" w:after="0"/>
      <w:outlineLvl w:val="2"/>
    </w:pPr>
    <w:rPr>
      <w:rFonts w:eastAsiaTheme="majorEastAsia" w:cstheme="minorHAnsi"/>
      <w:b/>
      <w:bCs/>
      <w:color w:val="243F60" w:themeColor="accent1" w:themeShade="7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AE"/>
    <w:rPr>
      <w:rFonts w:ascii="Tahoma" w:hAnsi="Tahoma" w:cs="Tahoma"/>
      <w:sz w:val="16"/>
      <w:szCs w:val="16"/>
    </w:rPr>
  </w:style>
  <w:style w:type="paragraph" w:styleId="ListParagraph">
    <w:name w:val="List Paragraph"/>
    <w:basedOn w:val="Normal"/>
    <w:uiPriority w:val="34"/>
    <w:qFormat/>
    <w:rsid w:val="003B38FD"/>
    <w:pPr>
      <w:ind w:left="720"/>
      <w:contextualSpacing/>
    </w:pPr>
  </w:style>
  <w:style w:type="paragraph" w:styleId="FootnoteText">
    <w:name w:val="footnote text"/>
    <w:aliases w:val="a footnote text,Footnote Text Char1,Footnote Text Char3 Char,Footnote Text Char2 Char Char,Footnote Text Char1 Char Char Char, Char Char Char Char Char,Footnote Text Char1 Char1 Char, Char Char Char1 Char,Footnote Text Char1 Char, Char1"/>
    <w:basedOn w:val="Normal"/>
    <w:link w:val="FootnoteTextChar"/>
    <w:uiPriority w:val="99"/>
    <w:unhideWhenUsed/>
    <w:rsid w:val="003B38FD"/>
    <w:pPr>
      <w:spacing w:after="0" w:line="240" w:lineRule="auto"/>
    </w:pPr>
    <w:rPr>
      <w:sz w:val="20"/>
      <w:szCs w:val="20"/>
    </w:rPr>
  </w:style>
  <w:style w:type="character" w:customStyle="1" w:styleId="FootnoteTextChar">
    <w:name w:val="Footnote Text Char"/>
    <w:aliases w:val="a footnote text Char,Footnote Text Char1 Char1,Footnote Text Char3 Char Char,Footnote Text Char2 Char Char Char,Footnote Text Char1 Char Char Char Char, Char Char Char Char Char Char,Footnote Text Char1 Char1 Char Char, Char1 Char"/>
    <w:basedOn w:val="DefaultParagraphFont"/>
    <w:link w:val="FootnoteText"/>
    <w:uiPriority w:val="99"/>
    <w:rsid w:val="003B38FD"/>
    <w:rPr>
      <w:sz w:val="20"/>
      <w:szCs w:val="20"/>
    </w:rPr>
  </w:style>
  <w:style w:type="character" w:styleId="FootnoteReference">
    <w:name w:val="footnote reference"/>
    <w:aliases w:val="-E Fußnotenzeichen,Ref,de nota al pie,Footnotes refss,(NECG) Footnote Reference,fr,Appel note de bas de page,註腳內容,4_G,Footnote Reference Anglo,stylish,Footnote Reference (EIS),fnr,Footnote reference (EA),o,FR,number,Style 13,Style 12"/>
    <w:basedOn w:val="DefaultParagraphFont"/>
    <w:uiPriority w:val="99"/>
    <w:unhideWhenUsed/>
    <w:qFormat/>
    <w:rsid w:val="003B38FD"/>
    <w:rPr>
      <w:vertAlign w:val="superscript"/>
    </w:rPr>
  </w:style>
  <w:style w:type="character" w:styleId="CommentReference">
    <w:name w:val="annotation reference"/>
    <w:basedOn w:val="DefaultParagraphFont"/>
    <w:uiPriority w:val="99"/>
    <w:semiHidden/>
    <w:unhideWhenUsed/>
    <w:rsid w:val="00545BB7"/>
    <w:rPr>
      <w:sz w:val="16"/>
      <w:szCs w:val="16"/>
    </w:rPr>
  </w:style>
  <w:style w:type="paragraph" w:styleId="CommentText">
    <w:name w:val="annotation text"/>
    <w:basedOn w:val="Normal"/>
    <w:link w:val="CommentTextChar"/>
    <w:uiPriority w:val="99"/>
    <w:unhideWhenUsed/>
    <w:rsid w:val="00545BB7"/>
    <w:pPr>
      <w:spacing w:line="240" w:lineRule="auto"/>
    </w:pPr>
    <w:rPr>
      <w:sz w:val="20"/>
      <w:szCs w:val="20"/>
    </w:rPr>
  </w:style>
  <w:style w:type="character" w:customStyle="1" w:styleId="CommentTextChar">
    <w:name w:val="Comment Text Char"/>
    <w:basedOn w:val="DefaultParagraphFont"/>
    <w:link w:val="CommentText"/>
    <w:uiPriority w:val="99"/>
    <w:rsid w:val="00545BB7"/>
    <w:rPr>
      <w:sz w:val="20"/>
      <w:szCs w:val="20"/>
    </w:rPr>
  </w:style>
  <w:style w:type="paragraph" w:styleId="CommentSubject">
    <w:name w:val="annotation subject"/>
    <w:basedOn w:val="CommentText"/>
    <w:next w:val="CommentText"/>
    <w:link w:val="CommentSubjectChar"/>
    <w:uiPriority w:val="99"/>
    <w:semiHidden/>
    <w:unhideWhenUsed/>
    <w:rsid w:val="00545BB7"/>
    <w:rPr>
      <w:b/>
      <w:bCs/>
    </w:rPr>
  </w:style>
  <w:style w:type="character" w:customStyle="1" w:styleId="CommentSubjectChar">
    <w:name w:val="Comment Subject Char"/>
    <w:basedOn w:val="CommentTextChar"/>
    <w:link w:val="CommentSubject"/>
    <w:uiPriority w:val="99"/>
    <w:semiHidden/>
    <w:rsid w:val="00545BB7"/>
    <w:rPr>
      <w:b/>
      <w:bCs/>
      <w:sz w:val="20"/>
      <w:szCs w:val="20"/>
    </w:rPr>
  </w:style>
  <w:style w:type="character" w:styleId="Hyperlink">
    <w:name w:val="Hyperlink"/>
    <w:basedOn w:val="DefaultParagraphFont"/>
    <w:uiPriority w:val="99"/>
    <w:unhideWhenUsed/>
    <w:rsid w:val="002F1323"/>
    <w:rPr>
      <w:color w:val="0000FF" w:themeColor="hyperlink"/>
      <w:u w:val="single"/>
    </w:rPr>
  </w:style>
  <w:style w:type="paragraph" w:customStyle="1" w:styleId="EMInormal">
    <w:name w:val="EMI normal"/>
    <w:link w:val="EMInormalChar"/>
    <w:qFormat/>
    <w:rsid w:val="003D59C5"/>
    <w:pPr>
      <w:jc w:val="both"/>
    </w:pPr>
    <w:rPr>
      <w:rFonts w:ascii="Tahoma" w:eastAsia="Times New Roman" w:hAnsi="Tahoma" w:cs="Times New Roman"/>
      <w:sz w:val="23"/>
      <w:szCs w:val="23"/>
      <w:lang w:val="en-GB" w:eastAsia="x-none"/>
    </w:rPr>
  </w:style>
  <w:style w:type="character" w:customStyle="1" w:styleId="EMInormalChar">
    <w:name w:val="EMI normal Char"/>
    <w:link w:val="EMInormal"/>
    <w:rsid w:val="003D59C5"/>
    <w:rPr>
      <w:rFonts w:ascii="Tahoma" w:eastAsia="Times New Roman" w:hAnsi="Tahoma" w:cs="Times New Roman"/>
      <w:sz w:val="23"/>
      <w:szCs w:val="23"/>
      <w:lang w:val="en-GB" w:eastAsia="x-none"/>
    </w:rPr>
  </w:style>
  <w:style w:type="table" w:styleId="MediumGrid1-Accent2">
    <w:name w:val="Medium Grid 1 Accent 2"/>
    <w:basedOn w:val="TableNormal"/>
    <w:uiPriority w:val="67"/>
    <w:rsid w:val="003D59C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ableGrid">
    <w:name w:val="Table Grid"/>
    <w:basedOn w:val="TableNormal"/>
    <w:uiPriority w:val="59"/>
    <w:rsid w:val="00CA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5727"/>
    <w:pPr>
      <w:tabs>
        <w:tab w:val="center" w:pos="4513"/>
        <w:tab w:val="right" w:pos="9026"/>
      </w:tabs>
      <w:spacing w:after="0" w:line="240" w:lineRule="auto"/>
    </w:pPr>
    <w:rPr>
      <w:rFonts w:eastAsiaTheme="minorEastAsia"/>
      <w:lang w:eastAsia="en-ZA"/>
    </w:rPr>
  </w:style>
  <w:style w:type="character" w:customStyle="1" w:styleId="FooterChar">
    <w:name w:val="Footer Char"/>
    <w:basedOn w:val="DefaultParagraphFont"/>
    <w:link w:val="Footer"/>
    <w:uiPriority w:val="99"/>
    <w:rsid w:val="00CA5727"/>
    <w:rPr>
      <w:rFonts w:eastAsiaTheme="minorEastAsia"/>
      <w:lang w:eastAsia="en-ZA"/>
    </w:rPr>
  </w:style>
  <w:style w:type="paragraph" w:styleId="Header">
    <w:name w:val="header"/>
    <w:basedOn w:val="Normal"/>
    <w:link w:val="HeaderChar"/>
    <w:uiPriority w:val="99"/>
    <w:unhideWhenUsed/>
    <w:rsid w:val="00325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172"/>
  </w:style>
  <w:style w:type="paragraph" w:customStyle="1" w:styleId="Default">
    <w:name w:val="Default"/>
    <w:rsid w:val="00E52FC9"/>
    <w:pPr>
      <w:autoSpaceDE w:val="0"/>
      <w:autoSpaceDN w:val="0"/>
      <w:adjustRightInd w:val="0"/>
      <w:spacing w:after="0" w:line="240" w:lineRule="auto"/>
    </w:pPr>
    <w:rPr>
      <w:rFonts w:ascii="Arial" w:hAnsi="Arial" w:cs="Arial"/>
      <w:color w:val="000000"/>
      <w:sz w:val="24"/>
      <w:szCs w:val="24"/>
      <w:lang w:val="en-US"/>
    </w:rPr>
  </w:style>
  <w:style w:type="paragraph" w:customStyle="1" w:styleId="TableParagraph">
    <w:name w:val="Table Paragraph"/>
    <w:basedOn w:val="Normal"/>
    <w:uiPriority w:val="1"/>
    <w:qFormat/>
    <w:rsid w:val="00DC51AB"/>
    <w:pPr>
      <w:widowControl w:val="0"/>
      <w:autoSpaceDE w:val="0"/>
      <w:autoSpaceDN w:val="0"/>
      <w:spacing w:after="0" w:line="240" w:lineRule="auto"/>
      <w:ind w:left="107"/>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EB4F27"/>
    <w:rPr>
      <w:rFonts w:eastAsiaTheme="majorEastAsia" w:cstheme="minorHAnsi"/>
      <w:b/>
      <w:bCs/>
      <w:color w:val="000000" w:themeColor="text1"/>
      <w:sz w:val="24"/>
      <w:szCs w:val="24"/>
    </w:rPr>
  </w:style>
  <w:style w:type="character" w:customStyle="1" w:styleId="Heading2Char">
    <w:name w:val="Heading 2 Char"/>
    <w:basedOn w:val="DefaultParagraphFont"/>
    <w:link w:val="Heading2"/>
    <w:uiPriority w:val="9"/>
    <w:rsid w:val="00EB4F27"/>
    <w:rPr>
      <w:b/>
      <w:bCs/>
      <w:color w:val="000000" w:themeColor="text1"/>
      <w:sz w:val="24"/>
      <w:szCs w:val="24"/>
      <w:lang w:bidi="he-IL"/>
    </w:rPr>
  </w:style>
  <w:style w:type="character" w:customStyle="1" w:styleId="Heading3Char">
    <w:name w:val="Heading 3 Char"/>
    <w:basedOn w:val="DefaultParagraphFont"/>
    <w:link w:val="Heading3"/>
    <w:uiPriority w:val="9"/>
    <w:rsid w:val="00EB4F27"/>
    <w:rPr>
      <w:rFonts w:eastAsiaTheme="majorEastAsia" w:cstheme="minorHAnsi"/>
      <w:b/>
      <w:bCs/>
      <w:color w:val="243F60" w:themeColor="accent1" w:themeShade="7F"/>
      <w:sz w:val="24"/>
      <w:szCs w:val="24"/>
      <w:u w:val="single"/>
    </w:rPr>
  </w:style>
  <w:style w:type="numbering" w:customStyle="1" w:styleId="NoList1">
    <w:name w:val="No List1"/>
    <w:next w:val="NoList"/>
    <w:uiPriority w:val="99"/>
    <w:semiHidden/>
    <w:unhideWhenUsed/>
    <w:rsid w:val="00EB4F27"/>
  </w:style>
  <w:style w:type="table" w:customStyle="1" w:styleId="MediumGrid1-Accent21">
    <w:name w:val="Medium Grid 1 - Accent 21"/>
    <w:basedOn w:val="TableNormal"/>
    <w:next w:val="MediumGrid1-Accent2"/>
    <w:uiPriority w:val="67"/>
    <w:rsid w:val="00EB4F2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TableGrid1">
    <w:name w:val="Table Grid1"/>
    <w:basedOn w:val="TableNormal"/>
    <w:next w:val="TableGrid"/>
    <w:uiPriority w:val="59"/>
    <w:rsid w:val="00EB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B4F27"/>
    <w:rPr>
      <w:color w:val="605E5C"/>
      <w:shd w:val="clear" w:color="auto" w:fill="E1DFDD"/>
    </w:rPr>
  </w:style>
  <w:style w:type="character" w:styleId="FollowedHyperlink">
    <w:name w:val="FollowedHyperlink"/>
    <w:basedOn w:val="DefaultParagraphFont"/>
    <w:uiPriority w:val="99"/>
    <w:semiHidden/>
    <w:unhideWhenUsed/>
    <w:rsid w:val="00EB4F27"/>
    <w:rPr>
      <w:color w:val="800080" w:themeColor="followedHyperlink"/>
      <w:u w:val="single"/>
    </w:rPr>
  </w:style>
  <w:style w:type="character" w:customStyle="1" w:styleId="FootnotesChar">
    <w:name w:val="Footnotes Char"/>
    <w:basedOn w:val="DefaultParagraphFont"/>
    <w:link w:val="Footnotes"/>
    <w:locked/>
    <w:rsid w:val="00EB4F27"/>
    <w:rPr>
      <w:rFonts w:eastAsia="Times New Roman" w:cstheme="minorHAnsi"/>
      <w:sz w:val="20"/>
      <w:szCs w:val="20"/>
      <w:lang w:val="en-GB"/>
    </w:rPr>
  </w:style>
  <w:style w:type="paragraph" w:customStyle="1" w:styleId="Footnotes">
    <w:name w:val="Footnotes"/>
    <w:basedOn w:val="FootnoteText"/>
    <w:link w:val="FootnotesChar"/>
    <w:qFormat/>
    <w:rsid w:val="00EB4F27"/>
    <w:pPr>
      <w:jc w:val="both"/>
    </w:pPr>
    <w:rPr>
      <w:rFonts w:eastAsia="Times New Roman" w:cstheme="minorHAnsi"/>
      <w:lang w:val="en-GB"/>
    </w:rPr>
  </w:style>
  <w:style w:type="paragraph" w:customStyle="1" w:styleId="lg-tabletext">
    <w:name w:val="lg-tabletext"/>
    <w:basedOn w:val="Normal"/>
    <w:rsid w:val="00EB4F27"/>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Footnote">
    <w:name w:val="Footnote"/>
    <w:basedOn w:val="FootnoteText"/>
    <w:link w:val="FootnoteChar"/>
    <w:qFormat/>
    <w:rsid w:val="00EB4F27"/>
  </w:style>
  <w:style w:type="character" w:customStyle="1" w:styleId="FootnoteChar">
    <w:name w:val="Footnote Char"/>
    <w:basedOn w:val="DefaultParagraphFont"/>
    <w:link w:val="Footnote"/>
    <w:rsid w:val="00EB4F27"/>
    <w:rPr>
      <w:sz w:val="20"/>
      <w:szCs w:val="20"/>
    </w:rPr>
  </w:style>
  <w:style w:type="character" w:customStyle="1" w:styleId="normaltextrun">
    <w:name w:val="normaltextrun"/>
    <w:basedOn w:val="DefaultParagraphFont"/>
    <w:rsid w:val="00EB4F27"/>
  </w:style>
  <w:style w:type="character" w:customStyle="1" w:styleId="eop">
    <w:name w:val="eop"/>
    <w:basedOn w:val="DefaultParagraphFont"/>
    <w:rsid w:val="00EB4F27"/>
  </w:style>
  <w:style w:type="character" w:styleId="IntenseReference">
    <w:name w:val="Intense Reference"/>
    <w:basedOn w:val="DefaultParagraphFont"/>
    <w:uiPriority w:val="32"/>
    <w:qFormat/>
    <w:rsid w:val="00EB4F27"/>
    <w:rPr>
      <w:b/>
      <w:bCs/>
      <w:smallCaps/>
      <w:color w:val="4F81BD" w:themeColor="accent1"/>
      <w:spacing w:val="5"/>
    </w:rPr>
  </w:style>
  <w:style w:type="character" w:customStyle="1" w:styleId="None">
    <w:name w:val="None"/>
    <w:rsid w:val="00EB4F27"/>
  </w:style>
  <w:style w:type="table" w:customStyle="1" w:styleId="TableGrid2">
    <w:name w:val="Table Grid2"/>
    <w:basedOn w:val="TableNormal"/>
    <w:next w:val="TableGrid"/>
    <w:uiPriority w:val="59"/>
    <w:rsid w:val="006A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7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7D33"/>
    <w:rPr>
      <w:rFonts w:ascii="Times New Roman" w:eastAsia="Calibri" w:hAnsi="Times New Roman" w:cs="Times New Roman"/>
      <w:sz w:val="24"/>
      <w:szCs w:val="24"/>
    </w:rPr>
  </w:style>
  <w:style w:type="paragraph" w:styleId="EndnoteText">
    <w:name w:val="endnote text"/>
    <w:basedOn w:val="Normal"/>
    <w:link w:val="EndnoteTextChar"/>
    <w:uiPriority w:val="99"/>
    <w:unhideWhenUsed/>
    <w:rsid w:val="00677D33"/>
    <w:pPr>
      <w:spacing w:after="0" w:line="240" w:lineRule="auto"/>
    </w:pPr>
    <w:rPr>
      <w:rFonts w:ascii="Times New Roman" w:eastAsia="Times New Roman" w:hAnsi="Times New Roman" w:cs="Times New Roman"/>
      <w:sz w:val="24"/>
      <w:szCs w:val="24"/>
      <w:lang w:eastAsia="en-GB"/>
    </w:rPr>
  </w:style>
  <w:style w:type="character" w:customStyle="1" w:styleId="EndnoteTextChar">
    <w:name w:val="Endnote Text Char"/>
    <w:basedOn w:val="DefaultParagraphFont"/>
    <w:link w:val="EndnoteText"/>
    <w:uiPriority w:val="99"/>
    <w:rsid w:val="00677D33"/>
    <w:rPr>
      <w:rFonts w:ascii="Times New Roman" w:eastAsia="Times New Roman" w:hAnsi="Times New Roman" w:cs="Times New Roman"/>
      <w:sz w:val="24"/>
      <w:szCs w:val="24"/>
      <w:lang w:eastAsia="en-GB"/>
    </w:rPr>
  </w:style>
  <w:style w:type="character" w:styleId="EndnoteReference">
    <w:name w:val="endnote reference"/>
    <w:uiPriority w:val="99"/>
    <w:unhideWhenUsed/>
    <w:rsid w:val="00677D33"/>
    <w:rPr>
      <w:vertAlign w:val="superscript"/>
    </w:rPr>
  </w:style>
  <w:style w:type="character" w:customStyle="1" w:styleId="apple-converted-space">
    <w:name w:val="apple-converted-space"/>
    <w:basedOn w:val="DefaultParagraphFont"/>
    <w:rsid w:val="00677D33"/>
  </w:style>
  <w:style w:type="character" w:styleId="UnresolvedMention">
    <w:name w:val="Unresolved Mention"/>
    <w:basedOn w:val="DefaultParagraphFont"/>
    <w:uiPriority w:val="99"/>
    <w:semiHidden/>
    <w:unhideWhenUsed/>
    <w:rsid w:val="00555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3148">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561644972">
      <w:bodyDiv w:val="1"/>
      <w:marLeft w:val="0"/>
      <w:marRight w:val="0"/>
      <w:marTop w:val="0"/>
      <w:marBottom w:val="0"/>
      <w:divBdr>
        <w:top w:val="none" w:sz="0" w:space="0" w:color="auto"/>
        <w:left w:val="none" w:sz="0" w:space="0" w:color="auto"/>
        <w:bottom w:val="none" w:sz="0" w:space="0" w:color="auto"/>
        <w:right w:val="none" w:sz="0" w:space="0" w:color="auto"/>
      </w:divBdr>
    </w:div>
    <w:div w:id="763645271">
      <w:bodyDiv w:val="1"/>
      <w:marLeft w:val="0"/>
      <w:marRight w:val="0"/>
      <w:marTop w:val="0"/>
      <w:marBottom w:val="0"/>
      <w:divBdr>
        <w:top w:val="none" w:sz="0" w:space="0" w:color="auto"/>
        <w:left w:val="none" w:sz="0" w:space="0" w:color="auto"/>
        <w:bottom w:val="none" w:sz="0" w:space="0" w:color="auto"/>
        <w:right w:val="none" w:sz="0" w:space="0" w:color="auto"/>
      </w:divBdr>
    </w:div>
    <w:div w:id="792551911">
      <w:bodyDiv w:val="1"/>
      <w:marLeft w:val="60"/>
      <w:marRight w:val="60"/>
      <w:marTop w:val="60"/>
      <w:marBottom w:val="15"/>
      <w:divBdr>
        <w:top w:val="none" w:sz="0" w:space="0" w:color="auto"/>
        <w:left w:val="none" w:sz="0" w:space="0" w:color="auto"/>
        <w:bottom w:val="none" w:sz="0" w:space="0" w:color="auto"/>
        <w:right w:val="none" w:sz="0" w:space="0" w:color="auto"/>
      </w:divBdr>
      <w:divsChild>
        <w:div w:id="1167673339">
          <w:marLeft w:val="0"/>
          <w:marRight w:val="0"/>
          <w:marTop w:val="0"/>
          <w:marBottom w:val="0"/>
          <w:divBdr>
            <w:top w:val="none" w:sz="0" w:space="0" w:color="auto"/>
            <w:left w:val="none" w:sz="0" w:space="0" w:color="auto"/>
            <w:bottom w:val="none" w:sz="0" w:space="0" w:color="auto"/>
            <w:right w:val="none" w:sz="0" w:space="0" w:color="auto"/>
          </w:divBdr>
        </w:div>
        <w:div w:id="30998868">
          <w:marLeft w:val="0"/>
          <w:marRight w:val="0"/>
          <w:marTop w:val="0"/>
          <w:marBottom w:val="0"/>
          <w:divBdr>
            <w:top w:val="none" w:sz="0" w:space="0" w:color="auto"/>
            <w:left w:val="none" w:sz="0" w:space="0" w:color="auto"/>
            <w:bottom w:val="none" w:sz="0" w:space="0" w:color="auto"/>
            <w:right w:val="none" w:sz="0" w:space="0" w:color="auto"/>
          </w:divBdr>
        </w:div>
        <w:div w:id="13500564">
          <w:marLeft w:val="0"/>
          <w:marRight w:val="0"/>
          <w:marTop w:val="0"/>
          <w:marBottom w:val="0"/>
          <w:divBdr>
            <w:top w:val="none" w:sz="0" w:space="0" w:color="auto"/>
            <w:left w:val="none" w:sz="0" w:space="0" w:color="auto"/>
            <w:bottom w:val="none" w:sz="0" w:space="0" w:color="auto"/>
            <w:right w:val="none" w:sz="0" w:space="0" w:color="auto"/>
          </w:divBdr>
        </w:div>
      </w:divsChild>
    </w:div>
    <w:div w:id="851382619">
      <w:bodyDiv w:val="1"/>
      <w:marLeft w:val="0"/>
      <w:marRight w:val="0"/>
      <w:marTop w:val="0"/>
      <w:marBottom w:val="0"/>
      <w:divBdr>
        <w:top w:val="none" w:sz="0" w:space="0" w:color="auto"/>
        <w:left w:val="none" w:sz="0" w:space="0" w:color="auto"/>
        <w:bottom w:val="none" w:sz="0" w:space="0" w:color="auto"/>
        <w:right w:val="none" w:sz="0" w:space="0" w:color="auto"/>
      </w:divBdr>
    </w:div>
    <w:div w:id="878778544">
      <w:bodyDiv w:val="1"/>
      <w:marLeft w:val="0"/>
      <w:marRight w:val="0"/>
      <w:marTop w:val="0"/>
      <w:marBottom w:val="0"/>
      <w:divBdr>
        <w:top w:val="none" w:sz="0" w:space="0" w:color="auto"/>
        <w:left w:val="none" w:sz="0" w:space="0" w:color="auto"/>
        <w:bottom w:val="none" w:sz="0" w:space="0" w:color="auto"/>
        <w:right w:val="none" w:sz="0" w:space="0" w:color="auto"/>
      </w:divBdr>
    </w:div>
    <w:div w:id="919364409">
      <w:bodyDiv w:val="1"/>
      <w:marLeft w:val="0"/>
      <w:marRight w:val="0"/>
      <w:marTop w:val="0"/>
      <w:marBottom w:val="0"/>
      <w:divBdr>
        <w:top w:val="none" w:sz="0" w:space="0" w:color="auto"/>
        <w:left w:val="none" w:sz="0" w:space="0" w:color="auto"/>
        <w:bottom w:val="none" w:sz="0" w:space="0" w:color="auto"/>
        <w:right w:val="none" w:sz="0" w:space="0" w:color="auto"/>
      </w:divBdr>
    </w:div>
    <w:div w:id="1152714898">
      <w:bodyDiv w:val="1"/>
      <w:marLeft w:val="0"/>
      <w:marRight w:val="0"/>
      <w:marTop w:val="0"/>
      <w:marBottom w:val="0"/>
      <w:divBdr>
        <w:top w:val="none" w:sz="0" w:space="0" w:color="auto"/>
        <w:left w:val="none" w:sz="0" w:space="0" w:color="auto"/>
        <w:bottom w:val="none" w:sz="0" w:space="0" w:color="auto"/>
        <w:right w:val="none" w:sz="0" w:space="0" w:color="auto"/>
      </w:divBdr>
    </w:div>
    <w:div w:id="1169981106">
      <w:bodyDiv w:val="1"/>
      <w:marLeft w:val="0"/>
      <w:marRight w:val="0"/>
      <w:marTop w:val="0"/>
      <w:marBottom w:val="0"/>
      <w:divBdr>
        <w:top w:val="none" w:sz="0" w:space="0" w:color="auto"/>
        <w:left w:val="none" w:sz="0" w:space="0" w:color="auto"/>
        <w:bottom w:val="none" w:sz="0" w:space="0" w:color="auto"/>
        <w:right w:val="none" w:sz="0" w:space="0" w:color="auto"/>
      </w:divBdr>
    </w:div>
    <w:div w:id="1230455856">
      <w:bodyDiv w:val="1"/>
      <w:marLeft w:val="0"/>
      <w:marRight w:val="0"/>
      <w:marTop w:val="0"/>
      <w:marBottom w:val="0"/>
      <w:divBdr>
        <w:top w:val="none" w:sz="0" w:space="0" w:color="auto"/>
        <w:left w:val="none" w:sz="0" w:space="0" w:color="auto"/>
        <w:bottom w:val="none" w:sz="0" w:space="0" w:color="auto"/>
        <w:right w:val="none" w:sz="0" w:space="0" w:color="auto"/>
      </w:divBdr>
    </w:div>
    <w:div w:id="1774200921">
      <w:bodyDiv w:val="1"/>
      <w:marLeft w:val="0"/>
      <w:marRight w:val="0"/>
      <w:marTop w:val="0"/>
      <w:marBottom w:val="0"/>
      <w:divBdr>
        <w:top w:val="none" w:sz="0" w:space="0" w:color="auto"/>
        <w:left w:val="none" w:sz="0" w:space="0" w:color="auto"/>
        <w:bottom w:val="none" w:sz="0" w:space="0" w:color="auto"/>
        <w:right w:val="none" w:sz="0" w:space="0" w:color="auto"/>
      </w:divBdr>
    </w:div>
    <w:div w:id="1883711940">
      <w:bodyDiv w:val="1"/>
      <w:marLeft w:val="0"/>
      <w:marRight w:val="0"/>
      <w:marTop w:val="0"/>
      <w:marBottom w:val="0"/>
      <w:divBdr>
        <w:top w:val="none" w:sz="0" w:space="0" w:color="auto"/>
        <w:left w:val="none" w:sz="0" w:space="0" w:color="auto"/>
        <w:bottom w:val="none" w:sz="0" w:space="0" w:color="auto"/>
        <w:right w:val="none" w:sz="0" w:space="0" w:color="auto"/>
      </w:divBdr>
    </w:div>
    <w:div w:id="1943604569">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20444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naturaljustic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ziwe@mweb.co.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14112a6-5f77-4d46-8615-7cc68a286ed0" xsi:nil="true"/>
    <Image xmlns="ef0f9002-9467-4512-9717-5260dd180184" xsi:nil="true"/>
    <lcf76f155ced4ddcb4097134ff3c332f xmlns="ef0f9002-9467-4512-9717-5260dd1801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926F0B0EFCD14AB61BE7B3C80BF3D5" ma:contentTypeVersion="20" ma:contentTypeDescription="Create a new document." ma:contentTypeScope="" ma:versionID="30c2198becafad0ac746c22bba21cadb">
  <xsd:schema xmlns:xsd="http://www.w3.org/2001/XMLSchema" xmlns:xs="http://www.w3.org/2001/XMLSchema" xmlns:p="http://schemas.microsoft.com/office/2006/metadata/properties" xmlns:ns2="ef0f9002-9467-4512-9717-5260dd180184" xmlns:ns3="614112a6-5f77-4d46-8615-7cc68a286ed0" targetNamespace="http://schemas.microsoft.com/office/2006/metadata/properties" ma:root="true" ma:fieldsID="71284ef454806cd3972fec46fbcb1184" ns2:_="" ns3:_="">
    <xsd:import namespace="ef0f9002-9467-4512-9717-5260dd180184"/>
    <xsd:import namespace="614112a6-5f77-4d46-8615-7cc68a286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Image"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f9002-9467-4512-9717-5260dd180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6e15879-bbee-4a85-9455-459c084f3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112a6-5f77-4d46-8615-7cc68a286e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7a39da-1c4c-467d-af0f-031b9cdd526a}" ma:internalName="TaxCatchAll" ma:showField="CatchAllData" ma:web="614112a6-5f77-4d46-8615-7cc68a286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60B28-D373-49A4-9CC6-E4581852F18C}">
  <ds:schemaRefs>
    <ds:schemaRef ds:uri="http://schemas.microsoft.com/sharepoint/v3/contenttype/forms"/>
  </ds:schemaRefs>
</ds:datastoreItem>
</file>

<file path=customXml/itemProps2.xml><?xml version="1.0" encoding="utf-8"?>
<ds:datastoreItem xmlns:ds="http://schemas.openxmlformats.org/officeDocument/2006/customXml" ds:itemID="{BC832F8C-95B6-4121-A4D7-A3272107304D}">
  <ds:schemaRefs>
    <ds:schemaRef ds:uri="http://schemas.openxmlformats.org/officeDocument/2006/bibliography"/>
  </ds:schemaRefs>
</ds:datastoreItem>
</file>

<file path=customXml/itemProps3.xml><?xml version="1.0" encoding="utf-8"?>
<ds:datastoreItem xmlns:ds="http://schemas.openxmlformats.org/officeDocument/2006/customXml" ds:itemID="{400E3D29-B504-4AED-AD86-958A5AEFF0BC}">
  <ds:schemaRefs>
    <ds:schemaRef ds:uri="http://schemas.microsoft.com/office/2006/metadata/properties"/>
    <ds:schemaRef ds:uri="http://schemas.microsoft.com/office/infopath/2007/PartnerControls"/>
    <ds:schemaRef ds:uri="614112a6-5f77-4d46-8615-7cc68a286ed0"/>
    <ds:schemaRef ds:uri="ef0f9002-9467-4512-9717-5260dd180184"/>
  </ds:schemaRefs>
</ds:datastoreItem>
</file>

<file path=customXml/itemProps4.xml><?xml version="1.0" encoding="utf-8"?>
<ds:datastoreItem xmlns:ds="http://schemas.openxmlformats.org/officeDocument/2006/customXml" ds:itemID="{E64BCA25-2CAD-4FD0-91B3-41A9FB018E10}"/>
</file>

<file path=docProps/app.xml><?xml version="1.0" encoding="utf-8"?>
<Properties xmlns="http://schemas.openxmlformats.org/officeDocument/2006/extended-properties" xmlns:vt="http://schemas.openxmlformats.org/officeDocument/2006/docPropsVTypes">
  <Template>Normal</Template>
  <TotalTime>1</TotalTime>
  <Pages>10</Pages>
  <Words>2304</Words>
  <Characters>13135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RHarris</dc:creator>
  <cp:lastModifiedBy>Melissa Groenink</cp:lastModifiedBy>
  <cp:revision>2</cp:revision>
  <dcterms:created xsi:type="dcterms:W3CDTF">2023-11-14T21:46:00Z</dcterms:created>
  <dcterms:modified xsi:type="dcterms:W3CDTF">2023-11-14T21:46:00Z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0x0101000A926F0B0EFCD14AB61BE7B3C80BF3D5</vt:lpwstr>
  </property>
</Properties>
</file>